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554A5">
      <w:pPr>
        <w:pStyle w:val="2"/>
        <w:adjustRightInd w:val="0"/>
        <w:snapToGrid w:val="0"/>
        <w:spacing w:line="240" w:lineRule="auto"/>
        <w:ind w:firstLine="320"/>
        <w:rPr>
          <w:rFonts w:hint="eastAsia"/>
        </w:rPr>
      </w:pPr>
      <w:bookmarkStart w:id="0" w:name="_Hlk203297940"/>
      <w:r>
        <w:rPr>
          <w:rFonts w:hint="eastAsia"/>
        </w:rPr>
        <w:t>《机械行业职业教育  专科专业教学质量评价规范》编制说明</w:t>
      </w:r>
    </w:p>
    <w:p w14:paraId="668D03B3">
      <w:pPr>
        <w:pStyle w:val="3"/>
      </w:pPr>
      <w:r>
        <w:rPr>
          <w:rFonts w:hint="eastAsia"/>
        </w:rPr>
        <w:t>一、工作简况</w:t>
      </w:r>
    </w:p>
    <w:p w14:paraId="4AD3C7FD">
      <w:pPr>
        <w:pStyle w:val="4"/>
        <w:rPr>
          <w:rFonts w:hint="eastAsia"/>
        </w:rPr>
      </w:pPr>
      <w:r>
        <w:rPr>
          <w:rFonts w:hint="eastAsia"/>
        </w:rPr>
        <w:t>1．任务来源</w:t>
      </w:r>
    </w:p>
    <w:p w14:paraId="39AC0635">
      <w:pPr>
        <w:adjustRightInd w:val="0"/>
        <w:snapToGrid w:val="0"/>
        <w:spacing w:line="360" w:lineRule="auto"/>
        <w:ind w:firstLine="210"/>
        <w:rPr>
          <w:rFonts w:hint="eastAsia"/>
          <w:sz w:val="21"/>
          <w:szCs w:val="21"/>
        </w:rPr>
      </w:pPr>
      <w:r>
        <w:rPr>
          <w:rFonts w:hint="eastAsia"/>
          <w:sz w:val="21"/>
          <w:szCs w:val="21"/>
        </w:rPr>
        <w:t>本项目源于</w:t>
      </w:r>
      <w:r>
        <w:rPr>
          <w:sz w:val="21"/>
          <w:szCs w:val="21"/>
        </w:rPr>
        <w:t>202</w:t>
      </w:r>
      <w:r>
        <w:rPr>
          <w:rFonts w:hint="eastAsia"/>
          <w:sz w:val="21"/>
          <w:szCs w:val="21"/>
        </w:rPr>
        <w:t>5年</w:t>
      </w:r>
      <w:r>
        <w:rPr>
          <w:sz w:val="21"/>
          <w:szCs w:val="21"/>
        </w:rPr>
        <w:t>7</w:t>
      </w:r>
      <w:r>
        <w:rPr>
          <w:rFonts w:hint="eastAsia"/>
          <w:sz w:val="21"/>
          <w:szCs w:val="21"/>
        </w:rPr>
        <w:t>月1</w:t>
      </w:r>
      <w:r>
        <w:rPr>
          <w:sz w:val="21"/>
          <w:szCs w:val="21"/>
        </w:rPr>
        <w:t>4</w:t>
      </w:r>
      <w:r>
        <w:rPr>
          <w:rFonts w:hint="eastAsia"/>
          <w:sz w:val="21"/>
          <w:szCs w:val="21"/>
        </w:rPr>
        <w:t>日中国机械工业联合会下达的《关于印发2025年第三批中国机械工业联合会团体标准制修订计划的通知》（机械标〔2025〕149 号）的要求，计划项目编号：</w:t>
      </w:r>
      <w:r>
        <w:rPr>
          <w:sz w:val="21"/>
          <w:szCs w:val="21"/>
        </w:rPr>
        <w:t>20250303</w:t>
      </w:r>
      <w:r>
        <w:rPr>
          <w:rFonts w:hint="eastAsia"/>
          <w:sz w:val="21"/>
          <w:szCs w:val="21"/>
        </w:rPr>
        <w:t>，项目名称：机械行业高等职业教育专业教学质量评价规范，任务为制定。主要起草单位：无锡职业技术学院，计划完成年限：</w:t>
      </w:r>
      <w:r>
        <w:rPr>
          <w:sz w:val="21"/>
          <w:szCs w:val="21"/>
        </w:rPr>
        <w:t>2026</w:t>
      </w:r>
      <w:r>
        <w:rPr>
          <w:rFonts w:hint="eastAsia"/>
          <w:sz w:val="21"/>
          <w:szCs w:val="21"/>
        </w:rPr>
        <w:t>年</w:t>
      </w:r>
      <w:r>
        <w:rPr>
          <w:sz w:val="21"/>
          <w:szCs w:val="21"/>
        </w:rPr>
        <w:t>7</w:t>
      </w:r>
      <w:r>
        <w:rPr>
          <w:rFonts w:hint="eastAsia"/>
          <w:sz w:val="21"/>
          <w:szCs w:val="21"/>
        </w:rPr>
        <w:t>月。</w:t>
      </w:r>
    </w:p>
    <w:p w14:paraId="1776FC2B">
      <w:pPr>
        <w:pStyle w:val="4"/>
        <w:rPr>
          <w:rFonts w:hint="eastAsia"/>
        </w:rPr>
      </w:pPr>
      <w:r>
        <w:rPr>
          <w:rFonts w:hint="eastAsia"/>
        </w:rPr>
        <w:t>2．主要工作过程</w:t>
      </w:r>
    </w:p>
    <w:p w14:paraId="4AB4BA17">
      <w:pPr>
        <w:adjustRightInd w:val="0"/>
        <w:snapToGrid w:val="0"/>
        <w:spacing w:line="360" w:lineRule="auto"/>
        <w:ind w:firstLine="422" w:firstLineChars="200"/>
        <w:rPr>
          <w:rFonts w:hint="eastAsia"/>
          <w:sz w:val="21"/>
          <w:szCs w:val="21"/>
        </w:rPr>
      </w:pPr>
      <w:r>
        <w:rPr>
          <w:rFonts w:hint="eastAsia"/>
          <w:b/>
          <w:bCs/>
          <w:sz w:val="21"/>
          <w:szCs w:val="21"/>
        </w:rPr>
        <w:t>起草阶段：</w:t>
      </w:r>
      <w:r>
        <w:rPr>
          <w:rFonts w:hint="eastAsia"/>
          <w:sz w:val="21"/>
          <w:szCs w:val="21"/>
        </w:rPr>
        <w:t>计划下达后，</w:t>
      </w:r>
      <w:r>
        <w:rPr>
          <w:sz w:val="21"/>
          <w:szCs w:val="21"/>
        </w:rPr>
        <w:t>202</w:t>
      </w:r>
      <w:r>
        <w:rPr>
          <w:rFonts w:hint="eastAsia"/>
          <w:sz w:val="21"/>
          <w:szCs w:val="21"/>
        </w:rPr>
        <w:t>5年</w:t>
      </w:r>
      <w:r>
        <w:rPr>
          <w:sz w:val="21"/>
          <w:szCs w:val="21"/>
        </w:rPr>
        <w:t>7</w:t>
      </w:r>
      <w:r>
        <w:rPr>
          <w:rFonts w:hint="eastAsia"/>
          <w:sz w:val="21"/>
          <w:szCs w:val="21"/>
        </w:rPr>
        <w:t>月，无锡职业技术大学成立了由无锡职业技术大学、机械工业教育发展中心、武汉华中数控股份有限公司、北京精雕科技集团有限公司、杭州中测科技有限公司、江西制造职业技术学院、杭州科技职业技术学院、包头职业技术学院、广西机电职业技术学院、陕西工业职业技术大学等单位专家组成的文件起草工作组（以下简称：工作组），担任主要起草工作。</w:t>
      </w:r>
    </w:p>
    <w:p w14:paraId="1253CE3D">
      <w:pPr>
        <w:adjustRightInd w:val="0"/>
        <w:snapToGrid w:val="0"/>
        <w:spacing w:line="360" w:lineRule="auto"/>
        <w:ind w:firstLine="420" w:firstLineChars="200"/>
        <w:rPr>
          <w:rFonts w:hint="eastAsia"/>
          <w:sz w:val="21"/>
          <w:szCs w:val="21"/>
        </w:rPr>
      </w:pPr>
      <w:r>
        <w:rPr>
          <w:rFonts w:hint="eastAsia"/>
          <w:sz w:val="21"/>
          <w:szCs w:val="21"/>
        </w:rPr>
        <w:t>根据当前高等职业教育专业教学质量评价在宏观层面上评价指标缺失和评价主体单一等问题，依据</w:t>
      </w:r>
      <w:r>
        <w:rPr>
          <w:sz w:val="21"/>
          <w:szCs w:val="21"/>
        </w:rPr>
        <w:t>《中华人民共和国职业教育法》（2022年修订）</w:t>
      </w:r>
      <w:r>
        <w:rPr>
          <w:rFonts w:hint="eastAsia"/>
          <w:sz w:val="21"/>
          <w:szCs w:val="21"/>
        </w:rPr>
        <w:t>等法律，</w:t>
      </w:r>
      <w:r>
        <w:rPr>
          <w:sz w:val="21"/>
          <w:szCs w:val="21"/>
        </w:rPr>
        <w:t>教育部、国家发展改革委、工业和信息化部、财政部、人力资源社会保障部和</w:t>
      </w:r>
      <w:r>
        <w:fldChar w:fldCharType="begin"/>
      </w:r>
      <w:r>
        <w:instrText xml:space="preserve"> HYPERLINK "https://baike.so.com/doc/5352370-5587828.html" \t "_blank" </w:instrText>
      </w:r>
      <w:r>
        <w:fldChar w:fldCharType="separate"/>
      </w:r>
      <w:r>
        <w:rPr>
          <w:sz w:val="21"/>
          <w:szCs w:val="21"/>
        </w:rPr>
        <w:t>国家税务总局</w:t>
      </w:r>
      <w:r>
        <w:rPr>
          <w:sz w:val="21"/>
          <w:szCs w:val="21"/>
        </w:rPr>
        <w:fldChar w:fldCharType="end"/>
      </w:r>
      <w:r>
        <w:rPr>
          <w:rFonts w:hint="eastAsia"/>
          <w:sz w:val="21"/>
          <w:szCs w:val="21"/>
        </w:rPr>
        <w:t>制定的</w:t>
      </w:r>
      <w:r>
        <w:rPr>
          <w:sz w:val="21"/>
          <w:szCs w:val="21"/>
        </w:rPr>
        <w:t>《职业学校校企合作促进办法》（2018年）</w:t>
      </w:r>
      <w:r>
        <w:rPr>
          <w:rFonts w:hint="eastAsia"/>
          <w:sz w:val="21"/>
          <w:szCs w:val="21"/>
        </w:rPr>
        <w:t>等法规，教育部《关于职业院校专业人才培养方案制订与实施工作的指导意见》（教职成〔2019〕13号）、《国家职业教育改革实施方案》（国发〔2019〕4号）等规章，《教育部职业教育专业教学标准-2025修（制）订》《高等职业学校办学条件监测指标（试行）》等标准，工作组进行了认真讨论，于</w:t>
      </w:r>
      <w:r>
        <w:rPr>
          <w:sz w:val="21"/>
          <w:szCs w:val="21"/>
        </w:rPr>
        <w:t>202</w:t>
      </w:r>
      <w:r>
        <w:rPr>
          <w:rFonts w:hint="eastAsia"/>
          <w:sz w:val="21"/>
          <w:szCs w:val="21"/>
        </w:rPr>
        <w:t>5年</w:t>
      </w:r>
      <w:r>
        <w:rPr>
          <w:sz w:val="21"/>
          <w:szCs w:val="21"/>
        </w:rPr>
        <w:t>7</w:t>
      </w:r>
      <w:r>
        <w:rPr>
          <w:rFonts w:hint="eastAsia"/>
          <w:sz w:val="21"/>
          <w:szCs w:val="21"/>
        </w:rPr>
        <w:t>月2</w:t>
      </w:r>
      <w:r>
        <w:rPr>
          <w:sz w:val="21"/>
          <w:szCs w:val="21"/>
        </w:rPr>
        <w:t>9</w:t>
      </w:r>
      <w:r>
        <w:rPr>
          <w:rFonts w:hint="eastAsia"/>
          <w:sz w:val="21"/>
          <w:szCs w:val="21"/>
        </w:rPr>
        <w:t>日完成了《机械行业高等职业教育专业教学质量评价规范》讨论稿。</w:t>
      </w:r>
      <w:bookmarkStart w:id="12" w:name="_GoBack"/>
      <w:bookmarkEnd w:id="12"/>
    </w:p>
    <w:p w14:paraId="341BB162">
      <w:pPr>
        <w:adjustRightInd w:val="0"/>
        <w:snapToGrid w:val="0"/>
        <w:spacing w:line="360" w:lineRule="auto"/>
        <w:ind w:firstLine="420" w:firstLineChars="200"/>
        <w:rPr>
          <w:rFonts w:hint="eastAsia"/>
          <w:sz w:val="21"/>
          <w:szCs w:val="21"/>
        </w:rPr>
      </w:pPr>
      <w:r>
        <w:rPr>
          <w:rFonts w:hint="eastAsia"/>
          <w:sz w:val="21"/>
          <w:szCs w:val="21"/>
        </w:rPr>
        <w:t>2025年8月8日</w:t>
      </w:r>
      <w:r>
        <w:rPr>
          <w:rFonts w:ascii="Times New Roman" w:hAnsi="Times New Roman"/>
          <w:sz w:val="21"/>
          <w:szCs w:val="21"/>
        </w:rPr>
        <w:t>~</w:t>
      </w:r>
      <w:r>
        <w:rPr>
          <w:rFonts w:hint="eastAsia"/>
          <w:sz w:val="21"/>
          <w:szCs w:val="21"/>
        </w:rPr>
        <w:t>8月11日，在包头职业技术学院组织召开团体标准研讨会，根据会议意见，工作组会后对文件进行修改和完善，并经中国机械工业联合会修改和审核后，于10月30日形成团体标准《机械行业职业教育  专科专业教学质量评价规范》征求意见稿和编制说明。</w:t>
      </w:r>
    </w:p>
    <w:p w14:paraId="2570D16C">
      <w:pPr>
        <w:adjustRightInd w:val="0"/>
        <w:snapToGrid w:val="0"/>
        <w:spacing w:line="360" w:lineRule="auto"/>
        <w:ind w:firstLine="422" w:firstLineChars="200"/>
        <w:rPr>
          <w:rFonts w:hint="eastAsia"/>
          <w:sz w:val="21"/>
          <w:szCs w:val="21"/>
        </w:rPr>
      </w:pPr>
      <w:r>
        <w:rPr>
          <w:rFonts w:hint="eastAsia"/>
          <w:b/>
          <w:bCs/>
          <w:sz w:val="21"/>
          <w:szCs w:val="21"/>
        </w:rPr>
        <w:t>征求意见阶段</w:t>
      </w:r>
      <w:r>
        <w:rPr>
          <w:rFonts w:hint="eastAsia"/>
          <w:sz w:val="21"/>
          <w:szCs w:val="21"/>
        </w:rPr>
        <w:t>：后续工作。</w:t>
      </w:r>
    </w:p>
    <w:p w14:paraId="741EE762">
      <w:pPr>
        <w:adjustRightInd w:val="0"/>
        <w:snapToGrid w:val="0"/>
        <w:spacing w:line="360" w:lineRule="auto"/>
        <w:ind w:firstLine="422" w:firstLineChars="200"/>
        <w:rPr>
          <w:rFonts w:hint="eastAsia"/>
          <w:sz w:val="21"/>
          <w:szCs w:val="21"/>
        </w:rPr>
      </w:pPr>
      <w:r>
        <w:rPr>
          <w:rFonts w:hint="eastAsia"/>
          <w:b/>
          <w:bCs/>
          <w:sz w:val="21"/>
          <w:szCs w:val="21"/>
        </w:rPr>
        <w:t>审查阶段：</w:t>
      </w:r>
      <w:r>
        <w:rPr>
          <w:rFonts w:hint="eastAsia"/>
          <w:sz w:val="21"/>
          <w:szCs w:val="21"/>
        </w:rPr>
        <w:t>后续工作。</w:t>
      </w:r>
    </w:p>
    <w:p w14:paraId="609FA1EC">
      <w:pPr>
        <w:adjustRightInd w:val="0"/>
        <w:snapToGrid w:val="0"/>
        <w:spacing w:line="360" w:lineRule="auto"/>
        <w:ind w:firstLine="422" w:firstLineChars="200"/>
        <w:rPr>
          <w:rFonts w:hint="eastAsia"/>
          <w:sz w:val="21"/>
          <w:szCs w:val="21"/>
        </w:rPr>
      </w:pPr>
      <w:r>
        <w:rPr>
          <w:rFonts w:hint="eastAsia"/>
          <w:b/>
          <w:bCs/>
          <w:sz w:val="21"/>
          <w:szCs w:val="21"/>
        </w:rPr>
        <w:t>报批阶段：</w:t>
      </w:r>
      <w:r>
        <w:rPr>
          <w:rFonts w:hint="eastAsia"/>
          <w:sz w:val="21"/>
          <w:szCs w:val="21"/>
        </w:rPr>
        <w:t>后续工作。</w:t>
      </w:r>
    </w:p>
    <w:p w14:paraId="6713B65F">
      <w:pPr>
        <w:pStyle w:val="4"/>
        <w:spacing w:before="220" w:after="220" w:line="400" w:lineRule="atLeast"/>
        <w:rPr>
          <w:rFonts w:hint="eastAsia"/>
        </w:rPr>
      </w:pPr>
      <w:r>
        <w:rPr>
          <w:rFonts w:hint="eastAsia"/>
        </w:rPr>
        <w:t>3．主要参加单位和工作组成员</w:t>
      </w:r>
    </w:p>
    <w:p w14:paraId="7A4839F8">
      <w:pPr>
        <w:adjustRightInd w:val="0"/>
        <w:snapToGrid w:val="0"/>
        <w:spacing w:line="360" w:lineRule="auto"/>
        <w:ind w:firstLine="210"/>
        <w:rPr>
          <w:rFonts w:hint="eastAsia"/>
          <w:sz w:val="21"/>
          <w:szCs w:val="21"/>
        </w:rPr>
      </w:pPr>
      <w:r>
        <w:rPr>
          <w:rFonts w:hint="eastAsia"/>
          <w:sz w:val="21"/>
          <w:szCs w:val="21"/>
        </w:rPr>
        <w:t>本文件由无锡职业技术大学、机械工业教育发展中心、武汉华中数控股份有限公司、北京精雕科技集团有限公司、杭州中测科技有限公司、江西制造职业技术学院、杭州科技职业技术学院、包头职业技术学院、广西机电职业技术学院、陕西工业职业技术大学、安徽机电职业技术学院、湖南工业职业技术学院、河北机电职业技术学院和天津机电职业技术学院作为起草单位。</w:t>
      </w:r>
    </w:p>
    <w:p w14:paraId="3FE4C8AB">
      <w:pPr>
        <w:adjustRightInd w:val="0"/>
        <w:snapToGrid w:val="0"/>
        <w:spacing w:line="360" w:lineRule="auto"/>
        <w:ind w:firstLine="210"/>
        <w:rPr>
          <w:rFonts w:hint="eastAsia"/>
          <w:sz w:val="21"/>
          <w:szCs w:val="21"/>
        </w:rPr>
      </w:pPr>
      <w:r>
        <w:rPr>
          <w:rFonts w:hint="eastAsia"/>
          <w:sz w:val="21"/>
          <w:szCs w:val="21"/>
        </w:rPr>
        <w:t>主要成员：戴勇、吕冬明、姜敏凤、张铮、唐立平、蒋雯、朱兵钺、熊艳华、李渊志、陆军华、单云、徐悦、莫胜撼、孙莹、刘兰兰、潘圆媛、郑利敏、张学良、黄伟、李光照、李健、李强、孙志平、董锦旗、陈慧、李薇、张月、祁晨宇、伍咏晖、于海春。</w:t>
      </w:r>
    </w:p>
    <w:p w14:paraId="46F31F6A">
      <w:pPr>
        <w:adjustRightInd w:val="0"/>
        <w:snapToGrid w:val="0"/>
        <w:spacing w:line="360" w:lineRule="auto"/>
        <w:ind w:firstLine="210"/>
        <w:rPr>
          <w:rFonts w:hint="eastAsia"/>
          <w:sz w:val="21"/>
          <w:szCs w:val="21"/>
        </w:rPr>
      </w:pPr>
      <w:r>
        <w:rPr>
          <w:rFonts w:hint="eastAsia"/>
          <w:sz w:val="21"/>
          <w:szCs w:val="21"/>
        </w:rPr>
        <w:t>所做工作：戴勇、姜敏凤、张铮负责本文件的起草和编写；吕冬明、朱兵钺全面协调起草与试点工作；蒋雯、唐立平、陈慧、李薇、张月、徐悦负责资料收集、研究和整理工作；单云、孙莹、莫胜撼、刘兰兰、郑利敏、潘圆媛、张学良、黄伟、祁晨宇、伍咏晖、于海春负责试点过程中的标准适切性分析；熊艳华、李渊志、陆军华、李光照、李健、李强、孙志平、董锦旗负责各阶段审稿、修改和补充工作。</w:t>
      </w:r>
    </w:p>
    <w:p w14:paraId="7808F06F">
      <w:pPr>
        <w:adjustRightInd w:val="0"/>
        <w:snapToGrid w:val="0"/>
        <w:spacing w:line="360" w:lineRule="auto"/>
        <w:ind w:firstLine="210"/>
        <w:rPr>
          <w:rFonts w:hint="eastAsia"/>
          <w:sz w:val="21"/>
          <w:szCs w:val="21"/>
        </w:rPr>
      </w:pPr>
      <w:r>
        <w:rPr>
          <w:rFonts w:hint="eastAsia"/>
          <w:sz w:val="21"/>
          <w:szCs w:val="21"/>
        </w:rPr>
        <w:t>注：具体分工及详细资料后续补齐。</w:t>
      </w:r>
    </w:p>
    <w:p w14:paraId="09FCC4BE">
      <w:pPr>
        <w:pStyle w:val="3"/>
        <w:spacing w:before="220" w:after="220"/>
      </w:pPr>
      <w:r>
        <w:rPr>
          <w:rFonts w:hint="eastAsia"/>
        </w:rPr>
        <w:t>二、标准编制原则及解决的主要问题</w:t>
      </w:r>
    </w:p>
    <w:p w14:paraId="41146E96">
      <w:pPr>
        <w:pStyle w:val="4"/>
        <w:spacing w:before="220" w:after="220" w:line="400" w:lineRule="atLeast"/>
        <w:rPr>
          <w:rFonts w:hint="eastAsia"/>
        </w:rPr>
      </w:pPr>
      <w:r>
        <w:rPr>
          <w:rFonts w:hint="eastAsia"/>
        </w:rPr>
        <w:t>1．标准编制原则</w:t>
      </w:r>
    </w:p>
    <w:p w14:paraId="47E347DC">
      <w:pPr>
        <w:adjustRightInd w:val="0"/>
        <w:snapToGrid w:val="0"/>
        <w:spacing w:line="360" w:lineRule="auto"/>
        <w:ind w:firstLine="210"/>
        <w:rPr>
          <w:rFonts w:hint="eastAsia"/>
          <w:sz w:val="21"/>
          <w:szCs w:val="21"/>
        </w:rPr>
      </w:pPr>
      <w:r>
        <w:rPr>
          <w:rFonts w:ascii="Times New Roman" w:hAnsi="Times New Roman"/>
          <w:sz w:val="21"/>
          <w:szCs w:val="21"/>
        </w:rPr>
        <w:t>——</w:t>
      </w:r>
      <w:r>
        <w:rPr>
          <w:rFonts w:hint="eastAsia"/>
          <w:sz w:val="21"/>
          <w:szCs w:val="21"/>
        </w:rPr>
        <w:t>本文件遵循学生中心原则。聚焦学生职业能力、技能应用和综合素质培养。</w:t>
      </w:r>
    </w:p>
    <w:p w14:paraId="754894D1">
      <w:pPr>
        <w:adjustRightInd w:val="0"/>
        <w:snapToGrid w:val="0"/>
        <w:spacing w:line="360" w:lineRule="auto"/>
        <w:ind w:firstLine="210"/>
        <w:rPr>
          <w:rFonts w:hint="eastAsia"/>
          <w:sz w:val="21"/>
          <w:szCs w:val="21"/>
        </w:rPr>
      </w:pPr>
      <w:r>
        <w:rPr>
          <w:rFonts w:ascii="Times New Roman" w:hAnsi="Times New Roman"/>
          <w:sz w:val="21"/>
          <w:szCs w:val="21"/>
        </w:rPr>
        <w:t>——</w:t>
      </w:r>
      <w:r>
        <w:rPr>
          <w:rFonts w:hint="eastAsia"/>
          <w:sz w:val="21"/>
          <w:szCs w:val="21"/>
        </w:rPr>
        <w:t>本文件遵循产教融合，校企合作原则。与行业和企业专家共同参与标准制定，确保专业教学内容与职业岗位要求衔接。</w:t>
      </w:r>
    </w:p>
    <w:p w14:paraId="7C820438">
      <w:pPr>
        <w:adjustRightInd w:val="0"/>
        <w:snapToGrid w:val="0"/>
        <w:spacing w:line="360" w:lineRule="auto"/>
        <w:ind w:firstLine="210"/>
        <w:rPr>
          <w:rFonts w:hint="eastAsia"/>
          <w:sz w:val="21"/>
          <w:szCs w:val="21"/>
        </w:rPr>
      </w:pPr>
      <w:r>
        <w:rPr>
          <w:rFonts w:ascii="Times New Roman" w:hAnsi="Times New Roman"/>
          <w:sz w:val="21"/>
          <w:szCs w:val="21"/>
        </w:rPr>
        <w:t>——</w:t>
      </w:r>
      <w:r>
        <w:rPr>
          <w:rFonts w:hint="eastAsia"/>
          <w:sz w:val="21"/>
          <w:szCs w:val="21"/>
        </w:rPr>
        <w:t>本文件遵循定量与定性评价相结合原则。评价指标既包含可量化评价，如就业率、技能证书获取率；也涵盖定性评价，如教学质量、课程设计。</w:t>
      </w:r>
    </w:p>
    <w:p w14:paraId="22E8C092">
      <w:pPr>
        <w:adjustRightInd w:val="0"/>
        <w:snapToGrid w:val="0"/>
        <w:spacing w:line="360" w:lineRule="auto"/>
        <w:ind w:firstLine="210"/>
        <w:rPr>
          <w:rFonts w:hint="eastAsia"/>
          <w:sz w:val="21"/>
          <w:szCs w:val="21"/>
        </w:rPr>
      </w:pPr>
      <w:r>
        <w:rPr>
          <w:rFonts w:ascii="Times New Roman" w:hAnsi="Times New Roman"/>
          <w:sz w:val="21"/>
          <w:szCs w:val="21"/>
        </w:rPr>
        <w:t>——</w:t>
      </w:r>
      <w:r>
        <w:rPr>
          <w:rFonts w:hint="eastAsia"/>
          <w:sz w:val="21"/>
          <w:szCs w:val="21"/>
        </w:rPr>
        <w:t>本文件遵循质量管控贯穿教学全过程原则。评价覆盖了教学设计、教学过程、教学效果等教学全过程。</w:t>
      </w:r>
    </w:p>
    <w:p w14:paraId="56306DFD">
      <w:pPr>
        <w:pStyle w:val="4"/>
        <w:spacing w:before="220" w:after="220" w:line="400" w:lineRule="atLeast"/>
        <w:rPr>
          <w:rFonts w:hint="eastAsia"/>
        </w:rPr>
      </w:pPr>
      <w:r>
        <w:rPr>
          <w:rFonts w:hint="eastAsia"/>
        </w:rPr>
        <w:t>2．解决的主要问题</w:t>
      </w:r>
    </w:p>
    <w:p w14:paraId="1AF871A8">
      <w:pPr>
        <w:adjustRightInd w:val="0"/>
        <w:snapToGrid w:val="0"/>
        <w:spacing w:line="360" w:lineRule="auto"/>
        <w:ind w:firstLine="210"/>
        <w:rPr>
          <w:rFonts w:hint="eastAsia"/>
          <w:sz w:val="21"/>
          <w:szCs w:val="21"/>
        </w:rPr>
      </w:pPr>
      <w:r>
        <w:rPr>
          <w:rFonts w:ascii="Times New Roman" w:hAnsi="Times New Roman"/>
          <w:sz w:val="21"/>
          <w:szCs w:val="21"/>
        </w:rPr>
        <w:t>——</w:t>
      </w:r>
      <w:r>
        <w:rPr>
          <w:rFonts w:hint="eastAsia"/>
          <w:sz w:val="21"/>
          <w:szCs w:val="21"/>
        </w:rPr>
        <w:t>本文件适用于学校、教育行政部门之外的行业第三方教学质量评价机构，弥补了专业评价主体单一、教学界内部封闭评价的不足。</w:t>
      </w:r>
    </w:p>
    <w:p w14:paraId="482CFF57">
      <w:pPr>
        <w:adjustRightInd w:val="0"/>
        <w:snapToGrid w:val="0"/>
        <w:spacing w:line="360" w:lineRule="auto"/>
        <w:ind w:firstLine="210"/>
        <w:rPr>
          <w:rFonts w:hint="eastAsia"/>
          <w:sz w:val="21"/>
          <w:szCs w:val="21"/>
        </w:rPr>
      </w:pPr>
      <w:r>
        <w:rPr>
          <w:rFonts w:ascii="Times New Roman" w:hAnsi="Times New Roman"/>
          <w:sz w:val="21"/>
          <w:szCs w:val="21"/>
        </w:rPr>
        <w:t>——</w:t>
      </w:r>
      <w:r>
        <w:rPr>
          <w:rFonts w:hint="eastAsia"/>
          <w:sz w:val="21"/>
          <w:szCs w:val="21"/>
        </w:rPr>
        <w:t>本文件为专业人才培养质量提供了覆盖人才培养全过程的要素和指标，构建了“行业需求→教学实施→成果评价→持续改进”的质量管控闭环系统。</w:t>
      </w:r>
    </w:p>
    <w:p w14:paraId="014C871F">
      <w:pPr>
        <w:adjustRightInd w:val="0"/>
        <w:snapToGrid w:val="0"/>
        <w:spacing w:line="360" w:lineRule="auto"/>
        <w:ind w:firstLine="210"/>
        <w:rPr>
          <w:rFonts w:hint="eastAsia"/>
          <w:sz w:val="21"/>
          <w:szCs w:val="21"/>
        </w:rPr>
      </w:pPr>
      <w:r>
        <w:rPr>
          <w:rFonts w:ascii="Times New Roman" w:hAnsi="Times New Roman"/>
          <w:sz w:val="21"/>
          <w:szCs w:val="21"/>
        </w:rPr>
        <w:t>——</w:t>
      </w:r>
      <w:r>
        <w:rPr>
          <w:rFonts w:hint="eastAsia"/>
          <w:sz w:val="21"/>
          <w:szCs w:val="21"/>
        </w:rPr>
        <w:t>本文件规定了教学内容与技术发展的适切性，明确了培养合格毕业生的9项毕业要求，为专业教学质量评价确定了主线。</w:t>
      </w:r>
    </w:p>
    <w:p w14:paraId="6FE873EB">
      <w:pPr>
        <w:pStyle w:val="3"/>
      </w:pPr>
      <w:r>
        <w:rPr>
          <w:rFonts w:hint="eastAsia"/>
        </w:rPr>
        <w:t>三、是否有对应的国家标准或行业标准</w:t>
      </w:r>
    </w:p>
    <w:p w14:paraId="43B3FF66">
      <w:pPr>
        <w:adjustRightInd w:val="0"/>
        <w:snapToGrid w:val="0"/>
        <w:spacing w:line="360" w:lineRule="auto"/>
        <w:ind w:firstLine="210"/>
        <w:rPr>
          <w:rFonts w:hint="eastAsia"/>
          <w:sz w:val="21"/>
          <w:szCs w:val="21"/>
        </w:rPr>
      </w:pPr>
      <w:r>
        <w:rPr>
          <w:rFonts w:hint="eastAsia"/>
          <w:sz w:val="21"/>
          <w:szCs w:val="21"/>
        </w:rPr>
        <w:t>无。</w:t>
      </w:r>
    </w:p>
    <w:p w14:paraId="6B59C930">
      <w:pPr>
        <w:pStyle w:val="3"/>
      </w:pPr>
      <w:r>
        <w:rPr>
          <w:rFonts w:hint="eastAsia"/>
        </w:rPr>
        <w:t>四、主要试验（或验证）情况分析</w:t>
      </w:r>
    </w:p>
    <w:p w14:paraId="6E882E2C">
      <w:pPr>
        <w:pStyle w:val="4"/>
        <w:rPr>
          <w:rFonts w:hint="eastAsia"/>
        </w:rPr>
      </w:pPr>
      <w:r>
        <w:rPr>
          <w:rFonts w:hint="eastAsia"/>
        </w:rPr>
        <w:t>1．文件主要内容</w:t>
      </w:r>
    </w:p>
    <w:p w14:paraId="79603203">
      <w:pPr>
        <w:adjustRightInd w:val="0"/>
        <w:snapToGrid w:val="0"/>
        <w:spacing w:line="360" w:lineRule="auto"/>
        <w:ind w:firstLine="210"/>
        <w:rPr>
          <w:rFonts w:hint="eastAsia"/>
          <w:sz w:val="21"/>
          <w:szCs w:val="21"/>
        </w:rPr>
      </w:pPr>
      <w:r>
        <w:rPr>
          <w:rFonts w:ascii="Times New Roman" w:hAnsi="Times New Roman"/>
          <w:sz w:val="21"/>
          <w:szCs w:val="21"/>
        </w:rPr>
        <w:t>——</w:t>
      </w:r>
      <w:r>
        <w:rPr>
          <w:rFonts w:hint="eastAsia"/>
          <w:sz w:val="21"/>
          <w:szCs w:val="21"/>
        </w:rPr>
        <w:t>评价方法。采用定量和定性相结合的方法开展机械行业职业教育专科专业教学质量评价。</w:t>
      </w:r>
    </w:p>
    <w:p w14:paraId="7A6B89CF">
      <w:pPr>
        <w:adjustRightInd w:val="0"/>
        <w:snapToGrid w:val="0"/>
        <w:spacing w:line="360" w:lineRule="auto"/>
        <w:ind w:firstLine="210"/>
        <w:rPr>
          <w:rFonts w:hint="eastAsia"/>
          <w:sz w:val="21"/>
          <w:szCs w:val="21"/>
        </w:rPr>
      </w:pPr>
      <w:r>
        <w:rPr>
          <w:rFonts w:ascii="Times New Roman" w:hAnsi="Times New Roman"/>
          <w:sz w:val="21"/>
          <w:szCs w:val="21"/>
        </w:rPr>
        <w:t>——</w:t>
      </w:r>
      <w:r>
        <w:rPr>
          <w:rFonts w:hint="eastAsia"/>
          <w:sz w:val="21"/>
          <w:szCs w:val="21"/>
        </w:rPr>
        <w:t>评价流程。机械行业职业教育专科专业教学质量评价流程：1.评价启动</w:t>
      </w:r>
      <w:r>
        <w:rPr>
          <w:sz w:val="21"/>
          <w:szCs w:val="21"/>
        </w:rPr>
        <w:sym w:font="Wingdings 3" w:char="F09E"/>
      </w:r>
      <w:r>
        <w:rPr>
          <w:rFonts w:hint="eastAsia"/>
          <w:sz w:val="21"/>
          <w:szCs w:val="21"/>
        </w:rPr>
        <w:t>2.评价准备</w:t>
      </w:r>
      <w:r>
        <w:rPr>
          <w:sz w:val="21"/>
          <w:szCs w:val="21"/>
        </w:rPr>
        <w:sym w:font="Wingdings 3" w:char="F09E"/>
      </w:r>
      <w:r>
        <w:rPr>
          <w:rFonts w:hint="eastAsia"/>
          <w:sz w:val="21"/>
          <w:szCs w:val="21"/>
        </w:rPr>
        <w:t>3.评价实施</w:t>
      </w:r>
      <w:r>
        <w:rPr>
          <w:sz w:val="21"/>
          <w:szCs w:val="21"/>
        </w:rPr>
        <w:sym w:font="Wingdings 3" w:char="F09E"/>
      </w:r>
      <w:r>
        <w:rPr>
          <w:rFonts w:hint="eastAsia"/>
          <w:sz w:val="21"/>
          <w:szCs w:val="21"/>
        </w:rPr>
        <w:t>4.形成评价结果</w:t>
      </w:r>
      <w:r>
        <w:rPr>
          <w:sz w:val="21"/>
          <w:szCs w:val="21"/>
        </w:rPr>
        <w:sym w:font="Wingdings 3" w:char="F09E"/>
      </w:r>
      <w:r>
        <w:rPr>
          <w:rFonts w:hint="eastAsia"/>
          <w:sz w:val="21"/>
          <w:szCs w:val="21"/>
        </w:rPr>
        <w:t>5.评价档案管理。</w:t>
      </w:r>
    </w:p>
    <w:p w14:paraId="0A92B99F">
      <w:pPr>
        <w:pStyle w:val="4"/>
        <w:rPr>
          <w:rFonts w:hint="eastAsia"/>
        </w:rPr>
      </w:pPr>
      <w:r>
        <w:rPr>
          <w:rFonts w:hint="eastAsia"/>
        </w:rPr>
        <w:t>2．指标体系框架说明</w:t>
      </w:r>
    </w:p>
    <w:p w14:paraId="39E7C022">
      <w:pPr>
        <w:adjustRightInd w:val="0"/>
        <w:snapToGrid w:val="0"/>
        <w:spacing w:line="360" w:lineRule="auto"/>
        <w:ind w:firstLine="420" w:firstLineChars="200"/>
        <w:rPr>
          <w:rFonts w:hint="eastAsia"/>
          <w:sz w:val="21"/>
          <w:szCs w:val="21"/>
        </w:rPr>
      </w:pPr>
      <w:r>
        <w:rPr>
          <w:rFonts w:hint="eastAsia"/>
          <w:sz w:val="21"/>
          <w:szCs w:val="21"/>
        </w:rPr>
        <w:t>评价指标体系见图1。由“学生发展、培养目标、毕业要求、课程体系、教学实施、持续改进、师资队伍、校企合作、支持条件”9项一级指标。</w:t>
      </w:r>
    </w:p>
    <w:p w14:paraId="0AC2BB1C">
      <w:pPr>
        <w:adjustRightInd w:val="0"/>
        <w:snapToGrid w:val="0"/>
        <w:spacing w:line="360" w:lineRule="auto"/>
        <w:ind w:firstLine="210"/>
        <w:jc w:val="center"/>
        <w:rPr>
          <w:rFonts w:hint="eastAsia" w:ascii="黑体" w:hAnsi="黑体" w:eastAsia="黑体" w:cs="黑体"/>
          <w:sz w:val="21"/>
          <w:szCs w:val="21"/>
        </w:rPr>
      </w:pPr>
      <w:r>
        <w:rPr>
          <w:rFonts w:hint="eastAsia" w:ascii="黑体" w:hAnsi="黑体" w:eastAsia="黑体" w:cs="黑体"/>
          <w:sz w:val="21"/>
          <w:szCs w:val="21"/>
        </w:rPr>
        <w:drawing>
          <wp:anchor distT="0" distB="0" distL="114300" distR="114300" simplePos="0" relativeHeight="251660288" behindDoc="0" locked="0" layoutInCell="1" allowOverlap="1">
            <wp:simplePos x="0" y="0"/>
            <wp:positionH relativeFrom="column">
              <wp:posOffset>1165860</wp:posOffset>
            </wp:positionH>
            <wp:positionV relativeFrom="paragraph">
              <wp:posOffset>13970</wp:posOffset>
            </wp:positionV>
            <wp:extent cx="3816350" cy="2389505"/>
            <wp:effectExtent l="0" t="0" r="0" b="0"/>
            <wp:wrapTopAndBottom/>
            <wp:docPr id="123649170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491702" name="图片 21"/>
                    <pic:cNvPicPr>
                      <a:picLocks noChangeAspect="1" noChangeArrowheads="1"/>
                    </pic:cNvPicPr>
                  </pic:nvPicPr>
                  <pic:blipFill>
                    <a:blip r:embed="rId11" cstate="print">
                      <a:extLst>
                        <a:ext uri="{28A0092B-C50C-407E-A947-70E740481C1C}">
                          <a14:useLocalDpi xmlns:a14="http://schemas.microsoft.com/office/drawing/2010/main" val="0"/>
                        </a:ext>
                      </a:extLst>
                    </a:blip>
                    <a:srcRect l="11166" t="12381" r="14021" b="4352"/>
                    <a:stretch>
                      <a:fillRect/>
                    </a:stretch>
                  </pic:blipFill>
                  <pic:spPr>
                    <a:xfrm>
                      <a:off x="0" y="0"/>
                      <a:ext cx="3816626" cy="2389430"/>
                    </a:xfrm>
                    <a:prstGeom prst="rect">
                      <a:avLst/>
                    </a:prstGeom>
                    <a:noFill/>
                    <a:ln>
                      <a:noFill/>
                    </a:ln>
                  </pic:spPr>
                </pic:pic>
              </a:graphicData>
            </a:graphic>
          </wp:anchor>
        </w:drawing>
      </w:r>
      <w:r>
        <w:rPr>
          <w:rFonts w:hint="eastAsia" w:ascii="黑体" w:hAnsi="黑体" w:eastAsia="黑体" w:cs="黑体"/>
          <w:sz w:val="21"/>
          <w:szCs w:val="21"/>
        </w:rPr>
        <w:t>图</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图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w:t>
      </w:r>
      <w:r>
        <w:rPr>
          <w:rFonts w:hint="eastAsia" w:ascii="黑体" w:hAnsi="黑体" w:eastAsia="黑体" w:cs="黑体"/>
          <w:sz w:val="21"/>
          <w:szCs w:val="21"/>
        </w:rPr>
        <w:fldChar w:fldCharType="end"/>
      </w:r>
      <w:r>
        <w:rPr>
          <w:rFonts w:hint="eastAsia" w:ascii="黑体" w:hAnsi="黑体" w:eastAsia="黑体" w:cs="黑体"/>
          <w:sz w:val="21"/>
          <w:szCs w:val="21"/>
        </w:rPr>
        <w:t xml:space="preserve"> “三环九维”评价指标体系模型</w:t>
      </w:r>
    </w:p>
    <w:p w14:paraId="6B90E415">
      <w:pPr>
        <w:adjustRightInd w:val="0"/>
        <w:snapToGrid w:val="0"/>
        <w:spacing w:line="360" w:lineRule="auto"/>
        <w:ind w:firstLine="420" w:firstLineChars="200"/>
        <w:rPr>
          <w:rFonts w:hint="eastAsia"/>
          <w:sz w:val="21"/>
          <w:szCs w:val="21"/>
        </w:rPr>
      </w:pPr>
      <w:r>
        <w:rPr>
          <w:rFonts w:ascii="Times New Roman" w:hAnsi="Times New Roman"/>
          <w:sz w:val="21"/>
          <w:szCs w:val="21"/>
        </w:rPr>
        <w:t>——</w:t>
      </w:r>
      <w:r>
        <w:rPr>
          <w:rFonts w:hint="eastAsia"/>
          <w:b/>
          <w:bCs/>
          <w:sz w:val="21"/>
          <w:szCs w:val="21"/>
        </w:rPr>
        <w:t>学生中心环。</w:t>
      </w:r>
      <w:r>
        <w:rPr>
          <w:rFonts w:hint="eastAsia"/>
          <w:sz w:val="21"/>
          <w:szCs w:val="21"/>
        </w:rPr>
        <w:t>由“学生发展”1个一级指标构成，该指标体现了以生为本的教育理念，对接了 “国家、行业企业、学生”对高质量职业教学的期待。学生发展包含“生源质量、成长指导、发展成果”等内涵。</w:t>
      </w:r>
    </w:p>
    <w:p w14:paraId="308ADB56">
      <w:pPr>
        <w:adjustRightInd w:val="0"/>
        <w:snapToGrid w:val="0"/>
        <w:spacing w:line="360" w:lineRule="auto"/>
        <w:ind w:firstLine="420" w:firstLineChars="200"/>
        <w:rPr>
          <w:rFonts w:hint="eastAsia"/>
          <w:sz w:val="21"/>
          <w:szCs w:val="21"/>
        </w:rPr>
      </w:pPr>
      <w:r>
        <w:rPr>
          <w:rFonts w:ascii="Times New Roman" w:hAnsi="Times New Roman"/>
          <w:sz w:val="21"/>
          <w:szCs w:val="21"/>
        </w:rPr>
        <w:t>——</w:t>
      </w:r>
      <w:r>
        <w:rPr>
          <w:rFonts w:hint="eastAsia"/>
          <w:b/>
          <w:bCs/>
          <w:sz w:val="21"/>
          <w:szCs w:val="21"/>
        </w:rPr>
        <w:t>质量闭环。</w:t>
      </w:r>
      <w:r>
        <w:rPr>
          <w:rFonts w:hint="eastAsia"/>
          <w:sz w:val="21"/>
          <w:szCs w:val="21"/>
        </w:rPr>
        <w:t>“培养目标、毕业要求、课程体系”专业人才培养方案的设计要素，分别对应专业人才培养的“长期、中期、短期”目标，与“教学实施、持续改进”2个一级指标构成了“事前设计、事中实施、事后改进”的质量管理三部曲。</w:t>
      </w:r>
    </w:p>
    <w:p w14:paraId="5A0D46AF">
      <w:pPr>
        <w:adjustRightInd w:val="0"/>
        <w:snapToGrid w:val="0"/>
        <w:spacing w:line="360" w:lineRule="auto"/>
        <w:ind w:firstLine="422" w:firstLineChars="200"/>
        <w:rPr>
          <w:rFonts w:hint="eastAsia"/>
          <w:sz w:val="21"/>
          <w:szCs w:val="21"/>
        </w:rPr>
      </w:pPr>
      <w:r>
        <w:rPr>
          <w:rFonts w:ascii="Times New Roman" w:hAnsi="Times New Roman"/>
          <w:b/>
          <w:bCs/>
          <w:sz w:val="21"/>
          <w:szCs w:val="21"/>
        </w:rPr>
        <w:t>——</w:t>
      </w:r>
      <w:r>
        <w:rPr>
          <w:rFonts w:hint="eastAsia" w:ascii="Times New Roman" w:hAnsi="Times New Roman"/>
          <w:b/>
          <w:bCs/>
          <w:sz w:val="21"/>
          <w:szCs w:val="21"/>
        </w:rPr>
        <w:t>保障条件环。</w:t>
      </w:r>
      <w:r>
        <w:rPr>
          <w:rFonts w:hint="eastAsia"/>
          <w:sz w:val="21"/>
          <w:szCs w:val="21"/>
        </w:rPr>
        <w:t>“师资队伍、校企合作、支持条件” 3个一级指标是专业教学质量的保障要素，也是职业学校办学的三个关键的基础条件。</w:t>
      </w:r>
    </w:p>
    <w:p w14:paraId="4A5D9C9D">
      <w:pPr>
        <w:pStyle w:val="4"/>
        <w:rPr>
          <w:rFonts w:hint="eastAsia"/>
        </w:rPr>
      </w:pPr>
      <w:r>
        <w:rPr>
          <w:rFonts w:hint="eastAsia"/>
        </w:rPr>
        <w:t>3．评价要求制定依据</w:t>
      </w:r>
    </w:p>
    <w:p w14:paraId="044E023D">
      <w:pPr>
        <w:pStyle w:val="5"/>
      </w:pPr>
      <w:r>
        <w:rPr>
          <w:rFonts w:hint="eastAsia" w:ascii="Times New Roman" w:hAnsi="Times New Roman" w:cs="Times New Roman"/>
        </w:rPr>
        <w:t xml:space="preserve">3.1 </w:t>
      </w:r>
      <w:r>
        <w:rPr>
          <w:rFonts w:hint="eastAsia"/>
        </w:rPr>
        <w:t>通用评价要求制定依据</w:t>
      </w:r>
    </w:p>
    <w:p w14:paraId="3FB89169">
      <w:pPr>
        <w:adjustRightInd w:val="0"/>
        <w:snapToGrid w:val="0"/>
        <w:spacing w:line="360" w:lineRule="auto"/>
        <w:ind w:firstLine="420" w:firstLineChars="200"/>
        <w:rPr>
          <w:rFonts w:hint="eastAsia"/>
          <w:sz w:val="21"/>
          <w:szCs w:val="21"/>
        </w:rPr>
      </w:pPr>
      <w:r>
        <w:rPr>
          <w:rFonts w:hint="eastAsia"/>
          <w:sz w:val="21"/>
          <w:szCs w:val="21"/>
        </w:rPr>
        <w:t>评价要求分为通用评价要求和机械设计制造类、工程材料技术类、机电设备类、自动化类、其他类等专业的补充评价要求两个部分。通用评价要求的判定基准制定依据见表1。</w:t>
      </w:r>
    </w:p>
    <w:p w14:paraId="26AF4C47">
      <w:pPr>
        <w:pStyle w:val="37"/>
        <w:numPr>
          <w:ilvl w:val="0"/>
          <w:numId w:val="1"/>
        </w:numPr>
        <w:tabs>
          <w:tab w:val="left" w:pos="0"/>
        </w:tabs>
        <w:adjustRightInd w:val="0"/>
        <w:snapToGrid w:val="0"/>
        <w:spacing w:before="156" w:after="156"/>
        <w:ind w:left="0"/>
        <w:rPr>
          <w:rFonts w:hint="eastAsia" w:hAnsi="黑体" w:cs="黑体"/>
          <w:szCs w:val="21"/>
        </w:rPr>
      </w:pPr>
      <w:r>
        <w:rPr>
          <w:rFonts w:hint="eastAsia" w:hAnsi="黑体" w:cs="黑体"/>
          <w:szCs w:val="21"/>
        </w:rPr>
        <w:t>通用评价要求制定依据</w:t>
      </w:r>
    </w:p>
    <w:tbl>
      <w:tblPr>
        <w:tblStyle w:val="19"/>
        <w:tblW w:w="980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1264"/>
        <w:gridCol w:w="2563"/>
        <w:gridCol w:w="3830"/>
        <w:gridCol w:w="1305"/>
      </w:tblGrid>
      <w:tr w14:paraId="0E2813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41" w:type="dxa"/>
            <w:tcMar>
              <w:top w:w="57" w:type="dxa"/>
              <w:bottom w:w="57" w:type="dxa"/>
            </w:tcMar>
            <w:vAlign w:val="center"/>
          </w:tcPr>
          <w:p w14:paraId="2E0DFF2F">
            <w:pPr>
              <w:adjustRightInd w:val="0"/>
              <w:snapToGrid w:val="0"/>
              <w:ind w:firstLine="0" w:firstLineChars="0"/>
              <w:jc w:val="center"/>
              <w:rPr>
                <w:rFonts w:hint="eastAsia"/>
                <w:b/>
                <w:bCs/>
              </w:rPr>
            </w:pPr>
            <w:r>
              <w:rPr>
                <w:b/>
                <w:bCs/>
              </w:rPr>
              <w:t>一级</w:t>
            </w:r>
          </w:p>
          <w:p w14:paraId="6A037B2C">
            <w:pPr>
              <w:adjustRightInd w:val="0"/>
              <w:snapToGrid w:val="0"/>
              <w:ind w:firstLine="0" w:firstLineChars="0"/>
              <w:jc w:val="center"/>
              <w:rPr>
                <w:rFonts w:hint="eastAsia"/>
                <w:b/>
                <w:bCs/>
              </w:rPr>
            </w:pPr>
            <w:r>
              <w:rPr>
                <w:b/>
                <w:bCs/>
              </w:rPr>
              <w:t>指标</w:t>
            </w:r>
          </w:p>
        </w:tc>
        <w:tc>
          <w:tcPr>
            <w:tcW w:w="1264" w:type="dxa"/>
            <w:tcMar>
              <w:top w:w="57" w:type="dxa"/>
              <w:bottom w:w="57" w:type="dxa"/>
            </w:tcMar>
            <w:vAlign w:val="center"/>
          </w:tcPr>
          <w:p w14:paraId="229943AB">
            <w:pPr>
              <w:adjustRightInd w:val="0"/>
              <w:snapToGrid w:val="0"/>
              <w:ind w:firstLine="0" w:firstLineChars="0"/>
              <w:jc w:val="center"/>
              <w:rPr>
                <w:rFonts w:hint="eastAsia"/>
                <w:b/>
                <w:bCs/>
              </w:rPr>
            </w:pPr>
            <w:r>
              <w:rPr>
                <w:b/>
                <w:bCs/>
              </w:rPr>
              <w:t>二级</w:t>
            </w:r>
          </w:p>
          <w:p w14:paraId="6CC5B42F">
            <w:pPr>
              <w:adjustRightInd w:val="0"/>
              <w:snapToGrid w:val="0"/>
              <w:ind w:firstLine="0" w:firstLineChars="0"/>
              <w:jc w:val="center"/>
              <w:rPr>
                <w:rFonts w:hint="eastAsia"/>
                <w:b/>
                <w:bCs/>
              </w:rPr>
            </w:pPr>
            <w:r>
              <w:rPr>
                <w:b/>
                <w:bCs/>
              </w:rPr>
              <w:t>指标</w:t>
            </w:r>
          </w:p>
        </w:tc>
        <w:tc>
          <w:tcPr>
            <w:tcW w:w="2563" w:type="dxa"/>
            <w:tcMar>
              <w:top w:w="57" w:type="dxa"/>
              <w:bottom w:w="57" w:type="dxa"/>
            </w:tcMar>
            <w:vAlign w:val="center"/>
          </w:tcPr>
          <w:p w14:paraId="779E70B2">
            <w:pPr>
              <w:adjustRightInd w:val="0"/>
              <w:snapToGrid w:val="0"/>
              <w:ind w:firstLine="0" w:firstLineChars="0"/>
              <w:jc w:val="center"/>
              <w:rPr>
                <w:rFonts w:hint="eastAsia"/>
                <w:b/>
                <w:bCs/>
              </w:rPr>
            </w:pPr>
            <w:r>
              <w:rPr>
                <w:b/>
                <w:bCs/>
              </w:rPr>
              <w:t>判定基准</w:t>
            </w:r>
          </w:p>
        </w:tc>
        <w:tc>
          <w:tcPr>
            <w:tcW w:w="3830" w:type="dxa"/>
            <w:vAlign w:val="center"/>
          </w:tcPr>
          <w:p w14:paraId="14566629">
            <w:pPr>
              <w:adjustRightInd w:val="0"/>
              <w:snapToGrid w:val="0"/>
              <w:ind w:firstLine="0" w:firstLineChars="0"/>
              <w:jc w:val="center"/>
              <w:rPr>
                <w:rFonts w:hint="eastAsia"/>
                <w:b/>
                <w:bCs/>
              </w:rPr>
            </w:pPr>
            <w:r>
              <w:rPr>
                <w:b/>
                <w:bCs/>
              </w:rPr>
              <w:t>判定依据</w:t>
            </w:r>
          </w:p>
          <w:p w14:paraId="5199F25C">
            <w:pPr>
              <w:adjustRightInd w:val="0"/>
              <w:snapToGrid w:val="0"/>
              <w:ind w:firstLine="0" w:firstLineChars="0"/>
              <w:jc w:val="center"/>
              <w:rPr>
                <w:rFonts w:hint="eastAsia"/>
                <w:b/>
                <w:bCs/>
              </w:rPr>
            </w:pPr>
            <w:r>
              <w:rPr>
                <w:b/>
                <w:bCs/>
              </w:rPr>
              <w:t>（包含但不限于）</w:t>
            </w:r>
          </w:p>
        </w:tc>
        <w:tc>
          <w:tcPr>
            <w:tcW w:w="1305" w:type="dxa"/>
            <w:vAlign w:val="center"/>
          </w:tcPr>
          <w:p w14:paraId="19F3877E">
            <w:pPr>
              <w:adjustRightInd w:val="0"/>
              <w:snapToGrid w:val="0"/>
              <w:ind w:firstLine="0" w:firstLineChars="0"/>
              <w:jc w:val="center"/>
              <w:rPr>
                <w:rFonts w:hint="eastAsia"/>
                <w:b/>
                <w:bCs/>
              </w:rPr>
            </w:pPr>
            <w:r>
              <w:rPr>
                <w:b/>
                <w:bCs/>
              </w:rPr>
              <w:t>评价</w:t>
            </w:r>
          </w:p>
          <w:p w14:paraId="2EA1BEF9">
            <w:pPr>
              <w:adjustRightInd w:val="0"/>
              <w:snapToGrid w:val="0"/>
              <w:ind w:firstLine="0" w:firstLineChars="0"/>
              <w:jc w:val="center"/>
              <w:rPr>
                <w:rFonts w:hint="eastAsia"/>
                <w:b/>
                <w:bCs/>
              </w:rPr>
            </w:pPr>
            <w:r>
              <w:rPr>
                <w:b/>
                <w:bCs/>
              </w:rPr>
              <w:t>方法</w:t>
            </w:r>
          </w:p>
        </w:tc>
      </w:tr>
      <w:tr w14:paraId="2AFACE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restart"/>
            <w:tcMar>
              <w:top w:w="57" w:type="dxa"/>
              <w:bottom w:w="57" w:type="dxa"/>
            </w:tcMar>
            <w:vAlign w:val="center"/>
          </w:tcPr>
          <w:p w14:paraId="3290364C">
            <w:pPr>
              <w:adjustRightInd w:val="0"/>
              <w:snapToGrid w:val="0"/>
              <w:ind w:firstLine="0" w:firstLineChars="0"/>
              <w:jc w:val="center"/>
              <w:rPr>
                <w:rFonts w:hint="eastAsia"/>
              </w:rPr>
            </w:pPr>
            <w:r>
              <w:t>1学生发展</w:t>
            </w:r>
          </w:p>
        </w:tc>
        <w:tc>
          <w:tcPr>
            <w:tcW w:w="1264" w:type="dxa"/>
            <w:vMerge w:val="restart"/>
            <w:tcMar>
              <w:top w:w="57" w:type="dxa"/>
              <w:bottom w:w="57" w:type="dxa"/>
            </w:tcMar>
            <w:vAlign w:val="center"/>
          </w:tcPr>
          <w:p w14:paraId="617FCFFC">
            <w:pPr>
              <w:adjustRightInd w:val="0"/>
              <w:snapToGrid w:val="0"/>
              <w:ind w:firstLine="0" w:firstLineChars="0"/>
              <w:jc w:val="center"/>
              <w:rPr>
                <w:rFonts w:hint="eastAsia"/>
              </w:rPr>
            </w:pPr>
            <w:r>
              <w:t>1.1生源质量</w:t>
            </w:r>
          </w:p>
        </w:tc>
        <w:tc>
          <w:tcPr>
            <w:tcW w:w="2563" w:type="dxa"/>
            <w:tcMar>
              <w:top w:w="57" w:type="dxa"/>
              <w:bottom w:w="57" w:type="dxa"/>
            </w:tcMar>
            <w:vAlign w:val="center"/>
          </w:tcPr>
          <w:p w14:paraId="7F5AD03C">
            <w:pPr>
              <w:adjustRightInd w:val="0"/>
              <w:snapToGrid w:val="0"/>
              <w:rPr>
                <w:rFonts w:hint="eastAsia"/>
              </w:rPr>
            </w:pPr>
            <w:r>
              <w:rPr>
                <w:rFonts w:hint="eastAsia"/>
              </w:rPr>
              <w:t>有</w:t>
            </w:r>
            <w:r>
              <w:t>吸引生源和提高生源质量的制度与措施</w:t>
            </w:r>
          </w:p>
        </w:tc>
        <w:tc>
          <w:tcPr>
            <w:tcW w:w="3830" w:type="dxa"/>
            <w:vAlign w:val="center"/>
          </w:tcPr>
          <w:p w14:paraId="59F377E5">
            <w:pPr>
              <w:adjustRightInd w:val="0"/>
              <w:snapToGrid w:val="0"/>
              <w:rPr>
                <w:rFonts w:hint="eastAsia"/>
              </w:rPr>
            </w:pPr>
            <w:r>
              <w:t>吸引生源和提高生源质量的制度与措施，关联的制度完善轨迹和专业执行情况记录</w:t>
            </w:r>
          </w:p>
        </w:tc>
        <w:tc>
          <w:tcPr>
            <w:tcW w:w="1305" w:type="dxa"/>
            <w:vAlign w:val="center"/>
          </w:tcPr>
          <w:p w14:paraId="6C4B6DD2">
            <w:pPr>
              <w:adjustRightInd w:val="0"/>
              <w:snapToGrid w:val="0"/>
              <w:ind w:firstLine="0" w:firstLineChars="0"/>
              <w:jc w:val="center"/>
              <w:rPr>
                <w:rFonts w:hint="eastAsia"/>
              </w:rPr>
            </w:pPr>
            <w:r>
              <w:t>统计数据法</w:t>
            </w:r>
          </w:p>
          <w:p w14:paraId="24C10521">
            <w:pPr>
              <w:adjustRightInd w:val="0"/>
              <w:snapToGrid w:val="0"/>
              <w:ind w:firstLine="0" w:firstLineChars="0"/>
              <w:jc w:val="center"/>
              <w:rPr>
                <w:rFonts w:hint="eastAsia"/>
              </w:rPr>
            </w:pPr>
            <w:r>
              <w:t>证据判断法</w:t>
            </w:r>
          </w:p>
          <w:p w14:paraId="1BEE95F0">
            <w:pPr>
              <w:adjustRightInd w:val="0"/>
              <w:snapToGrid w:val="0"/>
              <w:ind w:firstLine="0" w:firstLineChars="0"/>
              <w:jc w:val="center"/>
              <w:rPr>
                <w:rFonts w:hint="eastAsia"/>
              </w:rPr>
            </w:pPr>
            <w:r>
              <w:t>量表法</w:t>
            </w:r>
          </w:p>
        </w:tc>
      </w:tr>
      <w:tr w14:paraId="5BC6C9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72D42562">
            <w:pPr>
              <w:adjustRightInd w:val="0"/>
              <w:snapToGrid w:val="0"/>
              <w:rPr>
                <w:rFonts w:hint="eastAsia"/>
              </w:rPr>
            </w:pPr>
          </w:p>
        </w:tc>
        <w:tc>
          <w:tcPr>
            <w:tcW w:w="1264" w:type="dxa"/>
            <w:vMerge w:val="continue"/>
            <w:tcMar>
              <w:top w:w="57" w:type="dxa"/>
              <w:bottom w:w="57" w:type="dxa"/>
            </w:tcMar>
            <w:vAlign w:val="center"/>
          </w:tcPr>
          <w:p w14:paraId="4FAB1916">
            <w:pPr>
              <w:adjustRightInd w:val="0"/>
              <w:snapToGrid w:val="0"/>
              <w:rPr>
                <w:rFonts w:hint="eastAsia"/>
              </w:rPr>
            </w:pPr>
          </w:p>
        </w:tc>
        <w:tc>
          <w:tcPr>
            <w:tcW w:w="7698" w:type="dxa"/>
            <w:gridSpan w:val="3"/>
            <w:tcMar>
              <w:top w:w="57" w:type="dxa"/>
              <w:bottom w:w="57" w:type="dxa"/>
            </w:tcMar>
            <w:vAlign w:val="center"/>
          </w:tcPr>
          <w:p w14:paraId="71EE3DD3">
            <w:pPr>
              <w:adjustRightInd w:val="0"/>
              <w:snapToGrid w:val="0"/>
              <w:rPr>
                <w:rFonts w:hint="eastAsia"/>
              </w:rPr>
            </w:pPr>
            <w:r>
              <w:t>制定依据：与教育部关于印发《普通高等学校高等职业教育（专科）专业设置管理办法》（教职成〔2015〕10号）第二十一条要求一致</w:t>
            </w:r>
          </w:p>
        </w:tc>
      </w:tr>
      <w:tr w14:paraId="178A59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743B8AE3">
            <w:pPr>
              <w:adjustRightInd w:val="0"/>
              <w:snapToGrid w:val="0"/>
              <w:rPr>
                <w:rFonts w:hint="eastAsia"/>
              </w:rPr>
            </w:pPr>
          </w:p>
        </w:tc>
        <w:tc>
          <w:tcPr>
            <w:tcW w:w="1264" w:type="dxa"/>
            <w:vMerge w:val="continue"/>
            <w:tcMar>
              <w:top w:w="57" w:type="dxa"/>
              <w:bottom w:w="57" w:type="dxa"/>
            </w:tcMar>
            <w:vAlign w:val="center"/>
          </w:tcPr>
          <w:p w14:paraId="2B4C119D">
            <w:pPr>
              <w:adjustRightInd w:val="0"/>
              <w:snapToGrid w:val="0"/>
              <w:rPr>
                <w:rFonts w:hint="eastAsia"/>
              </w:rPr>
            </w:pPr>
          </w:p>
        </w:tc>
        <w:tc>
          <w:tcPr>
            <w:tcW w:w="2563" w:type="dxa"/>
            <w:tcMar>
              <w:top w:w="57" w:type="dxa"/>
              <w:bottom w:w="57" w:type="dxa"/>
            </w:tcMar>
            <w:vAlign w:val="center"/>
          </w:tcPr>
          <w:p w14:paraId="204C8449">
            <w:pPr>
              <w:adjustRightInd w:val="0"/>
              <w:snapToGrid w:val="0"/>
              <w:rPr>
                <w:rFonts w:hint="eastAsia"/>
              </w:rPr>
            </w:pPr>
            <w:r>
              <w:t>近三年连续新生报到率≥85%</w:t>
            </w:r>
          </w:p>
        </w:tc>
        <w:tc>
          <w:tcPr>
            <w:tcW w:w="3830" w:type="dxa"/>
            <w:vAlign w:val="center"/>
          </w:tcPr>
          <w:p w14:paraId="327BAC9A">
            <w:pPr>
              <w:adjustRightInd w:val="0"/>
              <w:snapToGrid w:val="0"/>
              <w:rPr>
                <w:rFonts w:hint="eastAsia"/>
              </w:rPr>
            </w:pPr>
            <w:r>
              <w:t>近三年专业招生计划、招生计划完成率、新生来源、新生报到率等汇总和分析材料，学生与校友对专业认可度调研分析材料</w:t>
            </w:r>
          </w:p>
        </w:tc>
        <w:tc>
          <w:tcPr>
            <w:tcW w:w="1305" w:type="dxa"/>
            <w:vAlign w:val="center"/>
          </w:tcPr>
          <w:p w14:paraId="4D995FBE">
            <w:pPr>
              <w:adjustRightInd w:val="0"/>
              <w:snapToGrid w:val="0"/>
              <w:ind w:firstLine="0" w:firstLineChars="0"/>
              <w:jc w:val="center"/>
              <w:rPr>
                <w:rFonts w:hint="eastAsia"/>
              </w:rPr>
            </w:pPr>
            <w:r>
              <w:t>统计数据法</w:t>
            </w:r>
          </w:p>
          <w:p w14:paraId="0FFAE706">
            <w:pPr>
              <w:adjustRightInd w:val="0"/>
              <w:snapToGrid w:val="0"/>
              <w:ind w:firstLine="0" w:firstLineChars="0"/>
              <w:jc w:val="center"/>
              <w:rPr>
                <w:rFonts w:hint="eastAsia"/>
              </w:rPr>
            </w:pPr>
            <w:r>
              <w:t>证据判断法</w:t>
            </w:r>
          </w:p>
          <w:p w14:paraId="277D9358">
            <w:pPr>
              <w:adjustRightInd w:val="0"/>
              <w:snapToGrid w:val="0"/>
              <w:ind w:firstLine="0" w:firstLineChars="0"/>
              <w:jc w:val="center"/>
              <w:rPr>
                <w:rFonts w:hint="eastAsia"/>
              </w:rPr>
            </w:pPr>
            <w:r>
              <w:t>量表法</w:t>
            </w:r>
          </w:p>
        </w:tc>
      </w:tr>
      <w:tr w14:paraId="0A089A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192CF5A">
            <w:pPr>
              <w:adjustRightInd w:val="0"/>
              <w:snapToGrid w:val="0"/>
              <w:rPr>
                <w:rFonts w:hint="eastAsia"/>
              </w:rPr>
            </w:pPr>
          </w:p>
        </w:tc>
        <w:tc>
          <w:tcPr>
            <w:tcW w:w="1264" w:type="dxa"/>
            <w:vMerge w:val="continue"/>
            <w:tcMar>
              <w:top w:w="57" w:type="dxa"/>
              <w:bottom w:w="57" w:type="dxa"/>
            </w:tcMar>
            <w:vAlign w:val="center"/>
          </w:tcPr>
          <w:p w14:paraId="68297A9F">
            <w:pPr>
              <w:adjustRightInd w:val="0"/>
              <w:snapToGrid w:val="0"/>
              <w:rPr>
                <w:rFonts w:hint="eastAsia"/>
              </w:rPr>
            </w:pPr>
          </w:p>
        </w:tc>
        <w:tc>
          <w:tcPr>
            <w:tcW w:w="7698" w:type="dxa"/>
            <w:gridSpan w:val="3"/>
            <w:tcMar>
              <w:top w:w="57" w:type="dxa"/>
              <w:bottom w:w="57" w:type="dxa"/>
            </w:tcMar>
            <w:vAlign w:val="center"/>
          </w:tcPr>
          <w:p w14:paraId="1A52182E">
            <w:pPr>
              <w:adjustRightInd w:val="0"/>
              <w:snapToGrid w:val="0"/>
              <w:rPr>
                <w:rFonts w:hint="eastAsia"/>
              </w:rPr>
            </w:pPr>
            <w:r>
              <w:t>制定依据：与机械行业高职院校内机械设计制造、工程材料技术、机电设备、自动化等高职专业类别的调研结论一致</w:t>
            </w:r>
          </w:p>
          <w:p w14:paraId="5A765E32">
            <w:pPr>
              <w:adjustRightInd w:val="0"/>
              <w:snapToGrid w:val="0"/>
              <w:rPr>
                <w:rFonts w:hint="eastAsia"/>
              </w:rPr>
            </w:pPr>
            <w:r>
              <w:t>新生报到率＝（按每年度统计的本专业新生报到人数／录取人数）%</w:t>
            </w:r>
          </w:p>
        </w:tc>
      </w:tr>
      <w:tr w14:paraId="22A78E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072C4C1E">
            <w:pPr>
              <w:adjustRightInd w:val="0"/>
              <w:snapToGrid w:val="0"/>
              <w:rPr>
                <w:rFonts w:hint="eastAsia"/>
              </w:rPr>
            </w:pPr>
          </w:p>
        </w:tc>
        <w:tc>
          <w:tcPr>
            <w:tcW w:w="1264" w:type="dxa"/>
            <w:vMerge w:val="restart"/>
            <w:tcMar>
              <w:top w:w="57" w:type="dxa"/>
              <w:bottom w:w="57" w:type="dxa"/>
            </w:tcMar>
            <w:vAlign w:val="center"/>
          </w:tcPr>
          <w:p w14:paraId="4970E274">
            <w:pPr>
              <w:adjustRightInd w:val="0"/>
              <w:snapToGrid w:val="0"/>
              <w:ind w:firstLine="0" w:firstLineChars="0"/>
              <w:jc w:val="center"/>
              <w:rPr>
                <w:rFonts w:hint="eastAsia"/>
              </w:rPr>
            </w:pPr>
            <w:r>
              <w:t>1.2成长指导</w:t>
            </w:r>
          </w:p>
        </w:tc>
        <w:tc>
          <w:tcPr>
            <w:tcW w:w="2563" w:type="dxa"/>
            <w:tcMar>
              <w:top w:w="57" w:type="dxa"/>
              <w:bottom w:w="57" w:type="dxa"/>
            </w:tcMar>
            <w:vAlign w:val="center"/>
          </w:tcPr>
          <w:p w14:paraId="0AAC67E4">
            <w:pPr>
              <w:adjustRightInd w:val="0"/>
              <w:snapToGrid w:val="0"/>
              <w:rPr>
                <w:rFonts w:hint="eastAsia"/>
              </w:rPr>
            </w:pPr>
            <w:r>
              <w:rPr>
                <w:rFonts w:hint="eastAsia"/>
              </w:rPr>
              <w:t>有完善的学生成长指导机制，包括但不限于思政教育、学习指导、职业规划指导、就业指导、生活指导、身心健康指导等机制与措施</w:t>
            </w:r>
          </w:p>
        </w:tc>
        <w:tc>
          <w:tcPr>
            <w:tcW w:w="3830" w:type="dxa"/>
            <w:vAlign w:val="center"/>
          </w:tcPr>
          <w:p w14:paraId="131A50F3">
            <w:pPr>
              <w:adjustRightInd w:val="0"/>
              <w:snapToGrid w:val="0"/>
              <w:rPr>
                <w:rFonts w:hint="eastAsia"/>
              </w:rPr>
            </w:pPr>
            <w:r>
              <w:rPr>
                <w:rFonts w:hint="eastAsia"/>
              </w:rPr>
              <w:t>学生成长指导机制与措施汇总文本，专业执行情况记录、结果汇总与分析材料</w:t>
            </w:r>
          </w:p>
        </w:tc>
        <w:tc>
          <w:tcPr>
            <w:tcW w:w="1305" w:type="dxa"/>
            <w:vAlign w:val="center"/>
          </w:tcPr>
          <w:p w14:paraId="73A039D0">
            <w:pPr>
              <w:adjustRightInd w:val="0"/>
              <w:snapToGrid w:val="0"/>
              <w:ind w:firstLine="0" w:firstLineChars="0"/>
              <w:jc w:val="center"/>
              <w:rPr>
                <w:rFonts w:hint="eastAsia"/>
              </w:rPr>
            </w:pPr>
            <w:r>
              <w:t>统计数据法</w:t>
            </w:r>
          </w:p>
          <w:p w14:paraId="64D6E1F6">
            <w:pPr>
              <w:adjustRightInd w:val="0"/>
              <w:snapToGrid w:val="0"/>
              <w:ind w:firstLine="0" w:firstLineChars="0"/>
              <w:jc w:val="center"/>
              <w:rPr>
                <w:rFonts w:hint="eastAsia"/>
              </w:rPr>
            </w:pPr>
            <w:r>
              <w:t>证据判断法</w:t>
            </w:r>
          </w:p>
        </w:tc>
      </w:tr>
      <w:tr w14:paraId="1B9700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112138E4">
            <w:pPr>
              <w:adjustRightInd w:val="0"/>
              <w:snapToGrid w:val="0"/>
              <w:rPr>
                <w:rFonts w:hint="eastAsia"/>
              </w:rPr>
            </w:pPr>
          </w:p>
        </w:tc>
        <w:tc>
          <w:tcPr>
            <w:tcW w:w="1264" w:type="dxa"/>
            <w:vMerge w:val="continue"/>
            <w:tcMar>
              <w:top w:w="57" w:type="dxa"/>
              <w:bottom w:w="57" w:type="dxa"/>
            </w:tcMar>
            <w:vAlign w:val="center"/>
          </w:tcPr>
          <w:p w14:paraId="42902C90">
            <w:pPr>
              <w:adjustRightInd w:val="0"/>
              <w:snapToGrid w:val="0"/>
              <w:rPr>
                <w:rFonts w:hint="eastAsia"/>
              </w:rPr>
            </w:pPr>
          </w:p>
        </w:tc>
        <w:tc>
          <w:tcPr>
            <w:tcW w:w="7698" w:type="dxa"/>
            <w:gridSpan w:val="3"/>
            <w:tcMar>
              <w:top w:w="57" w:type="dxa"/>
              <w:bottom w:w="57" w:type="dxa"/>
            </w:tcMar>
            <w:vAlign w:val="center"/>
          </w:tcPr>
          <w:p w14:paraId="300A70D2">
            <w:pPr>
              <w:adjustRightInd w:val="0"/>
              <w:snapToGrid w:val="0"/>
              <w:rPr>
                <w:rFonts w:hint="eastAsia"/>
              </w:rPr>
            </w:pPr>
            <w:r>
              <w:t>制定依据：与教育部《高等学校课程思政建设指导纲要》（教高〔2020〕3号）、《教育部关于职业院校专业人才培养方案制订与实施工作的指导意见》（教职成〔2019〕13号）二（二）1条款一致</w:t>
            </w:r>
          </w:p>
        </w:tc>
      </w:tr>
      <w:tr w14:paraId="070352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0AF480C4">
            <w:pPr>
              <w:adjustRightInd w:val="0"/>
              <w:snapToGrid w:val="0"/>
              <w:rPr>
                <w:rFonts w:hint="eastAsia"/>
              </w:rPr>
            </w:pPr>
          </w:p>
        </w:tc>
        <w:tc>
          <w:tcPr>
            <w:tcW w:w="1264" w:type="dxa"/>
            <w:vMerge w:val="continue"/>
            <w:tcMar>
              <w:top w:w="57" w:type="dxa"/>
              <w:bottom w:w="57" w:type="dxa"/>
            </w:tcMar>
            <w:vAlign w:val="center"/>
          </w:tcPr>
          <w:p w14:paraId="60FCA868">
            <w:pPr>
              <w:adjustRightInd w:val="0"/>
              <w:snapToGrid w:val="0"/>
              <w:rPr>
                <w:rFonts w:hint="eastAsia"/>
              </w:rPr>
            </w:pPr>
          </w:p>
        </w:tc>
        <w:tc>
          <w:tcPr>
            <w:tcW w:w="2563" w:type="dxa"/>
            <w:tcMar>
              <w:top w:w="57" w:type="dxa"/>
              <w:bottom w:w="57" w:type="dxa"/>
            </w:tcMar>
            <w:vAlign w:val="center"/>
          </w:tcPr>
          <w:p w14:paraId="57D58961">
            <w:pPr>
              <w:adjustRightInd w:val="0"/>
              <w:snapToGrid w:val="0"/>
              <w:rPr>
                <w:rFonts w:hint="eastAsia"/>
              </w:rPr>
            </w:pPr>
            <w:r>
              <w:t>毕业生就业率≥90%</w:t>
            </w:r>
          </w:p>
        </w:tc>
        <w:tc>
          <w:tcPr>
            <w:tcW w:w="3830" w:type="dxa"/>
            <w:vAlign w:val="center"/>
          </w:tcPr>
          <w:p w14:paraId="360421C9">
            <w:pPr>
              <w:adjustRightInd w:val="0"/>
              <w:snapToGrid w:val="0"/>
              <w:rPr>
                <w:rFonts w:hint="eastAsia"/>
              </w:rPr>
            </w:pPr>
            <w:r>
              <w:t>近三年毕业生就业率汇总和分析材料</w:t>
            </w:r>
          </w:p>
        </w:tc>
        <w:tc>
          <w:tcPr>
            <w:tcW w:w="1305" w:type="dxa"/>
            <w:vAlign w:val="center"/>
          </w:tcPr>
          <w:p w14:paraId="5790E3CD">
            <w:pPr>
              <w:adjustRightInd w:val="0"/>
              <w:snapToGrid w:val="0"/>
              <w:ind w:firstLine="0" w:firstLineChars="0"/>
              <w:jc w:val="center"/>
              <w:rPr>
                <w:rFonts w:hint="eastAsia"/>
              </w:rPr>
            </w:pPr>
            <w:r>
              <w:t>统计数据法</w:t>
            </w:r>
          </w:p>
          <w:p w14:paraId="6C8009C2">
            <w:pPr>
              <w:adjustRightInd w:val="0"/>
              <w:snapToGrid w:val="0"/>
              <w:ind w:firstLine="0" w:firstLineChars="0"/>
              <w:jc w:val="center"/>
              <w:rPr>
                <w:rFonts w:hint="eastAsia"/>
              </w:rPr>
            </w:pPr>
            <w:r>
              <w:t>证据判断法</w:t>
            </w:r>
          </w:p>
        </w:tc>
      </w:tr>
      <w:tr w14:paraId="44F451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25926808">
            <w:pPr>
              <w:adjustRightInd w:val="0"/>
              <w:snapToGrid w:val="0"/>
              <w:rPr>
                <w:rFonts w:hint="eastAsia"/>
              </w:rPr>
            </w:pPr>
          </w:p>
        </w:tc>
        <w:tc>
          <w:tcPr>
            <w:tcW w:w="1264" w:type="dxa"/>
            <w:vMerge w:val="continue"/>
            <w:tcMar>
              <w:top w:w="57" w:type="dxa"/>
              <w:bottom w:w="57" w:type="dxa"/>
            </w:tcMar>
            <w:vAlign w:val="center"/>
          </w:tcPr>
          <w:p w14:paraId="7CADCB60">
            <w:pPr>
              <w:adjustRightInd w:val="0"/>
              <w:snapToGrid w:val="0"/>
              <w:rPr>
                <w:rFonts w:hint="eastAsia"/>
              </w:rPr>
            </w:pPr>
          </w:p>
        </w:tc>
        <w:tc>
          <w:tcPr>
            <w:tcW w:w="7698" w:type="dxa"/>
            <w:gridSpan w:val="3"/>
            <w:tcMar>
              <w:top w:w="57" w:type="dxa"/>
              <w:bottom w:w="57" w:type="dxa"/>
            </w:tcMar>
            <w:vAlign w:val="center"/>
          </w:tcPr>
          <w:p w14:paraId="3260253A">
            <w:pPr>
              <w:adjustRightInd w:val="0"/>
              <w:snapToGrid w:val="0"/>
              <w:rPr>
                <w:rFonts w:hint="eastAsia"/>
              </w:rPr>
            </w:pPr>
            <w:r>
              <w:t>制定依据：与机械行业高职院校内机械设计制造、工程材料技术、机电设备、自动化等专业类别的调研结论一致</w:t>
            </w:r>
          </w:p>
          <w:p w14:paraId="2D80E595">
            <w:pPr>
              <w:adjustRightInd w:val="0"/>
              <w:snapToGrid w:val="0"/>
              <w:rPr>
                <w:rFonts w:hint="eastAsia"/>
              </w:rPr>
            </w:pPr>
            <w:r>
              <w:t>毕业生就业率＝（企事业单位协议就业、自主创业、灵活就业和升学的学生总数／毕业生总数）%</w:t>
            </w:r>
          </w:p>
        </w:tc>
      </w:tr>
      <w:tr w14:paraId="715F2D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6BF51865">
            <w:pPr>
              <w:adjustRightInd w:val="0"/>
              <w:snapToGrid w:val="0"/>
              <w:rPr>
                <w:rFonts w:hint="eastAsia"/>
              </w:rPr>
            </w:pPr>
          </w:p>
        </w:tc>
        <w:tc>
          <w:tcPr>
            <w:tcW w:w="1264" w:type="dxa"/>
            <w:vMerge w:val="restart"/>
            <w:tcMar>
              <w:top w:w="57" w:type="dxa"/>
              <w:bottom w:w="57" w:type="dxa"/>
            </w:tcMar>
            <w:vAlign w:val="center"/>
          </w:tcPr>
          <w:p w14:paraId="34B5D2BA">
            <w:pPr>
              <w:adjustRightInd w:val="0"/>
              <w:snapToGrid w:val="0"/>
              <w:ind w:firstLine="0" w:firstLineChars="0"/>
              <w:jc w:val="center"/>
              <w:rPr>
                <w:rFonts w:hint="eastAsia"/>
              </w:rPr>
            </w:pPr>
            <w:r>
              <w:t>1.3发展成果</w:t>
            </w:r>
          </w:p>
        </w:tc>
        <w:tc>
          <w:tcPr>
            <w:tcW w:w="2563" w:type="dxa"/>
            <w:tcMar>
              <w:top w:w="57" w:type="dxa"/>
              <w:bottom w:w="57" w:type="dxa"/>
            </w:tcMar>
            <w:vAlign w:val="center"/>
          </w:tcPr>
          <w:p w14:paraId="3E62031C">
            <w:pPr>
              <w:adjustRightInd w:val="0"/>
              <w:snapToGrid w:val="0"/>
              <w:rPr>
                <w:rFonts w:hint="eastAsia"/>
              </w:rPr>
            </w:pPr>
            <w:r>
              <w:t>过程性与结果性评价融合</w:t>
            </w:r>
            <w:r>
              <w:rPr>
                <w:rFonts w:hint="eastAsia"/>
              </w:rPr>
              <w:t>的学业评价</w:t>
            </w:r>
            <w:r>
              <w:t>机制</w:t>
            </w:r>
            <w:r>
              <w:rPr>
                <w:rFonts w:hint="eastAsia"/>
              </w:rPr>
              <w:t>、</w:t>
            </w:r>
            <w:r>
              <w:t>完善</w:t>
            </w:r>
            <w:r>
              <w:rPr>
                <w:rFonts w:hint="eastAsia"/>
              </w:rPr>
              <w:t>的</w:t>
            </w:r>
            <w:r>
              <w:t>学习成果认</w:t>
            </w:r>
            <w:r>
              <w:rPr>
                <w:rFonts w:hint="eastAsia"/>
              </w:rPr>
              <w:t>定</w:t>
            </w:r>
            <w:r>
              <w:t>及</w:t>
            </w:r>
            <w:r>
              <w:rPr>
                <w:rFonts w:hint="eastAsia"/>
              </w:rPr>
              <w:t>学分互换机制，并</w:t>
            </w:r>
            <w:r>
              <w:t>动态追踪学习表现</w:t>
            </w:r>
            <w:r>
              <w:rPr>
                <w:rFonts w:hint="eastAsia"/>
              </w:rPr>
              <w:t>，建立学业预警与反馈机制</w:t>
            </w:r>
          </w:p>
        </w:tc>
        <w:tc>
          <w:tcPr>
            <w:tcW w:w="3830" w:type="dxa"/>
            <w:vAlign w:val="center"/>
          </w:tcPr>
          <w:p w14:paraId="511E2555">
            <w:pPr>
              <w:adjustRightInd w:val="0"/>
              <w:snapToGrid w:val="0"/>
              <w:rPr>
                <w:rFonts w:hint="eastAsia"/>
              </w:rPr>
            </w:pPr>
            <w:r>
              <w:t>过程性与结果性评价融合</w:t>
            </w:r>
            <w:r>
              <w:rPr>
                <w:rFonts w:hint="eastAsia"/>
              </w:rPr>
              <w:t>的学业评价</w:t>
            </w:r>
            <w:r>
              <w:t>机制</w:t>
            </w:r>
            <w:r>
              <w:rPr>
                <w:rFonts w:hint="eastAsia"/>
              </w:rPr>
              <w:t>、</w:t>
            </w:r>
            <w:r>
              <w:t>学习成果认</w:t>
            </w:r>
            <w:r>
              <w:rPr>
                <w:rFonts w:hint="eastAsia"/>
              </w:rPr>
              <w:t>定</w:t>
            </w:r>
            <w:r>
              <w:t>及</w:t>
            </w:r>
            <w:r>
              <w:rPr>
                <w:rFonts w:hint="eastAsia"/>
              </w:rPr>
              <w:t>学分互换机制文本汇总材料，专业执行制度与完善制度情况记录</w:t>
            </w:r>
          </w:p>
          <w:p w14:paraId="0C8B17C2">
            <w:pPr>
              <w:adjustRightInd w:val="0"/>
              <w:snapToGrid w:val="0"/>
              <w:rPr>
                <w:rFonts w:hint="eastAsia"/>
              </w:rPr>
            </w:pPr>
            <w:r>
              <w:rPr>
                <w:rFonts w:hint="eastAsia"/>
              </w:rPr>
              <w:t>近三年及时向学生、教师、班主任、教学管理人员推送的学业预警记录，对学生（特别是学有困难学生）的学业跟踪评价、辅导和取得的成效记录</w:t>
            </w:r>
          </w:p>
        </w:tc>
        <w:tc>
          <w:tcPr>
            <w:tcW w:w="1305" w:type="dxa"/>
            <w:vAlign w:val="center"/>
          </w:tcPr>
          <w:p w14:paraId="4F1B13D7">
            <w:pPr>
              <w:adjustRightInd w:val="0"/>
              <w:snapToGrid w:val="0"/>
              <w:ind w:firstLine="0" w:firstLineChars="0"/>
              <w:jc w:val="center"/>
              <w:rPr>
                <w:rFonts w:hint="eastAsia"/>
              </w:rPr>
            </w:pPr>
            <w:r>
              <w:t>统计数据法</w:t>
            </w:r>
          </w:p>
          <w:p w14:paraId="5CD4F8F1">
            <w:pPr>
              <w:adjustRightInd w:val="0"/>
              <w:snapToGrid w:val="0"/>
              <w:ind w:firstLine="0" w:firstLineChars="0"/>
              <w:jc w:val="center"/>
              <w:rPr>
                <w:rFonts w:hint="eastAsia"/>
              </w:rPr>
            </w:pPr>
            <w:r>
              <w:t>证据判断法</w:t>
            </w:r>
          </w:p>
        </w:tc>
      </w:tr>
      <w:tr w14:paraId="4A1D6ECE">
        <w:tblPrEx>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6B64ACE1">
            <w:pPr>
              <w:adjustRightInd w:val="0"/>
              <w:snapToGrid w:val="0"/>
              <w:rPr>
                <w:rFonts w:hint="eastAsia"/>
              </w:rPr>
            </w:pPr>
          </w:p>
        </w:tc>
        <w:tc>
          <w:tcPr>
            <w:tcW w:w="1264" w:type="dxa"/>
            <w:vMerge w:val="continue"/>
            <w:tcMar>
              <w:top w:w="57" w:type="dxa"/>
              <w:bottom w:w="57" w:type="dxa"/>
            </w:tcMar>
            <w:vAlign w:val="center"/>
          </w:tcPr>
          <w:p w14:paraId="10492868">
            <w:pPr>
              <w:adjustRightInd w:val="0"/>
              <w:snapToGrid w:val="0"/>
              <w:rPr>
                <w:rFonts w:hint="eastAsia"/>
              </w:rPr>
            </w:pPr>
          </w:p>
        </w:tc>
        <w:tc>
          <w:tcPr>
            <w:tcW w:w="7698" w:type="dxa"/>
            <w:gridSpan w:val="3"/>
            <w:tcMar>
              <w:top w:w="57" w:type="dxa"/>
              <w:bottom w:w="57" w:type="dxa"/>
            </w:tcMar>
            <w:vAlign w:val="center"/>
          </w:tcPr>
          <w:p w14:paraId="619FCA36">
            <w:pPr>
              <w:adjustRightInd w:val="0"/>
              <w:snapToGrid w:val="0"/>
              <w:rPr>
                <w:rFonts w:hint="eastAsia"/>
              </w:rPr>
            </w:pPr>
            <w:r>
              <w:t>制定依据：与教育部《高等学校课程思政建设指导纲要》（教高〔2020〕3号）、《教育部关于职业院校专业人才培养方案制订与实施工作的指导意见》（教职成〔2019〕13号）二（二）1条款一致</w:t>
            </w:r>
          </w:p>
        </w:tc>
      </w:tr>
      <w:tr w14:paraId="7B3F15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6630B1F8">
            <w:pPr>
              <w:adjustRightInd w:val="0"/>
              <w:snapToGrid w:val="0"/>
              <w:rPr>
                <w:rFonts w:hint="eastAsia"/>
              </w:rPr>
            </w:pPr>
          </w:p>
        </w:tc>
        <w:tc>
          <w:tcPr>
            <w:tcW w:w="1264" w:type="dxa"/>
            <w:vMerge w:val="continue"/>
            <w:tcMar>
              <w:top w:w="57" w:type="dxa"/>
              <w:bottom w:w="57" w:type="dxa"/>
            </w:tcMar>
            <w:vAlign w:val="center"/>
          </w:tcPr>
          <w:p w14:paraId="75286ED4">
            <w:pPr>
              <w:adjustRightInd w:val="0"/>
              <w:snapToGrid w:val="0"/>
              <w:rPr>
                <w:rFonts w:hint="eastAsia"/>
              </w:rPr>
            </w:pPr>
          </w:p>
        </w:tc>
        <w:tc>
          <w:tcPr>
            <w:tcW w:w="2563" w:type="dxa"/>
            <w:tcMar>
              <w:top w:w="57" w:type="dxa"/>
              <w:bottom w:w="57" w:type="dxa"/>
            </w:tcMar>
            <w:vAlign w:val="center"/>
          </w:tcPr>
          <w:p w14:paraId="2B309EE6">
            <w:pPr>
              <w:adjustRightInd w:val="0"/>
              <w:snapToGrid w:val="0"/>
              <w:rPr>
                <w:rFonts w:hint="eastAsia"/>
              </w:rPr>
            </w:pPr>
            <w:r>
              <w:rPr>
                <w:rFonts w:hint="eastAsia"/>
              </w:rPr>
              <w:t>专业毕业率宜在</w:t>
            </w:r>
            <w:r>
              <w:t>85%</w:t>
            </w:r>
            <w:r>
              <w:rPr>
                <w:rFonts w:ascii="Times New Roman" w:hAnsi="Times New Roman"/>
              </w:rPr>
              <w:t>~</w:t>
            </w:r>
            <w:r>
              <w:t>95%</w:t>
            </w:r>
          </w:p>
        </w:tc>
        <w:tc>
          <w:tcPr>
            <w:tcW w:w="3830" w:type="dxa"/>
            <w:vAlign w:val="center"/>
          </w:tcPr>
          <w:p w14:paraId="034C95FB">
            <w:pPr>
              <w:adjustRightInd w:val="0"/>
              <w:snapToGrid w:val="0"/>
              <w:rPr>
                <w:rFonts w:hint="eastAsia"/>
              </w:rPr>
            </w:pPr>
            <w:r>
              <w:t>近三年专业毕业率汇总和分析材料</w:t>
            </w:r>
          </w:p>
        </w:tc>
        <w:tc>
          <w:tcPr>
            <w:tcW w:w="1305" w:type="dxa"/>
            <w:vAlign w:val="center"/>
          </w:tcPr>
          <w:p w14:paraId="2C22690B">
            <w:pPr>
              <w:adjustRightInd w:val="0"/>
              <w:snapToGrid w:val="0"/>
              <w:ind w:firstLine="0" w:firstLineChars="0"/>
              <w:jc w:val="center"/>
              <w:rPr>
                <w:rFonts w:hint="eastAsia"/>
              </w:rPr>
            </w:pPr>
            <w:r>
              <w:t>统计数据法</w:t>
            </w:r>
          </w:p>
          <w:p w14:paraId="3F24A0F1">
            <w:pPr>
              <w:adjustRightInd w:val="0"/>
              <w:snapToGrid w:val="0"/>
              <w:ind w:firstLine="0" w:firstLineChars="0"/>
              <w:jc w:val="center"/>
              <w:rPr>
                <w:rFonts w:hint="eastAsia"/>
              </w:rPr>
            </w:pPr>
            <w:r>
              <w:t>证据判断法</w:t>
            </w:r>
          </w:p>
        </w:tc>
      </w:tr>
      <w:tr w14:paraId="19EE35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E1AECE1">
            <w:pPr>
              <w:adjustRightInd w:val="0"/>
              <w:snapToGrid w:val="0"/>
              <w:rPr>
                <w:rFonts w:hint="eastAsia"/>
              </w:rPr>
            </w:pPr>
          </w:p>
        </w:tc>
        <w:tc>
          <w:tcPr>
            <w:tcW w:w="1264" w:type="dxa"/>
            <w:vMerge w:val="continue"/>
            <w:tcMar>
              <w:top w:w="57" w:type="dxa"/>
              <w:bottom w:w="57" w:type="dxa"/>
            </w:tcMar>
            <w:vAlign w:val="center"/>
          </w:tcPr>
          <w:p w14:paraId="29FE55AC">
            <w:pPr>
              <w:adjustRightInd w:val="0"/>
              <w:snapToGrid w:val="0"/>
              <w:rPr>
                <w:rFonts w:hint="eastAsia"/>
              </w:rPr>
            </w:pPr>
          </w:p>
        </w:tc>
        <w:tc>
          <w:tcPr>
            <w:tcW w:w="7698" w:type="dxa"/>
            <w:gridSpan w:val="3"/>
            <w:tcMar>
              <w:top w:w="57" w:type="dxa"/>
              <w:bottom w:w="57" w:type="dxa"/>
            </w:tcMar>
            <w:vAlign w:val="center"/>
          </w:tcPr>
          <w:p w14:paraId="1D296A79">
            <w:pPr>
              <w:adjustRightInd w:val="0"/>
              <w:snapToGrid w:val="0"/>
              <w:rPr>
                <w:rFonts w:hint="eastAsia"/>
              </w:rPr>
            </w:pPr>
            <w:r>
              <w:t>制定依据：与机械行业高职院校内机械设计制造、工程材料技术、机电设备、自动化等专业类别的调研结论一致</w:t>
            </w:r>
          </w:p>
          <w:p w14:paraId="58E66644">
            <w:pPr>
              <w:adjustRightInd w:val="0"/>
              <w:snapToGrid w:val="0"/>
              <w:rPr>
                <w:rFonts w:hint="eastAsia"/>
              </w:rPr>
            </w:pPr>
            <w:r>
              <w:t>毕业生就业率＝（企事业单位协议就业、自主创业、灵活就业和升学的学生总数／毕业生总数）%</w:t>
            </w:r>
          </w:p>
        </w:tc>
      </w:tr>
      <w:tr w14:paraId="10CC7D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restart"/>
            <w:tcMar>
              <w:top w:w="57" w:type="dxa"/>
              <w:bottom w:w="57" w:type="dxa"/>
            </w:tcMar>
            <w:vAlign w:val="center"/>
          </w:tcPr>
          <w:p w14:paraId="62830C60">
            <w:pPr>
              <w:adjustRightInd w:val="0"/>
              <w:snapToGrid w:val="0"/>
              <w:ind w:firstLine="0" w:firstLineChars="0"/>
              <w:jc w:val="center"/>
              <w:rPr>
                <w:rFonts w:hint="eastAsia"/>
              </w:rPr>
            </w:pPr>
            <w:r>
              <w:t>2培养目标</w:t>
            </w:r>
          </w:p>
        </w:tc>
        <w:tc>
          <w:tcPr>
            <w:tcW w:w="1264" w:type="dxa"/>
            <w:vMerge w:val="restart"/>
            <w:tcMar>
              <w:top w:w="57" w:type="dxa"/>
              <w:bottom w:w="57" w:type="dxa"/>
            </w:tcMar>
            <w:vAlign w:val="center"/>
          </w:tcPr>
          <w:p w14:paraId="587EB0EA">
            <w:pPr>
              <w:adjustRightInd w:val="0"/>
              <w:snapToGrid w:val="0"/>
              <w:ind w:firstLine="0" w:firstLineChars="0"/>
              <w:jc w:val="center"/>
              <w:rPr>
                <w:rFonts w:hint="eastAsia"/>
              </w:rPr>
            </w:pPr>
            <w:r>
              <w:t>2.1目标定位</w:t>
            </w:r>
          </w:p>
        </w:tc>
        <w:tc>
          <w:tcPr>
            <w:tcW w:w="2563" w:type="dxa"/>
            <w:tcMar>
              <w:top w:w="57" w:type="dxa"/>
              <w:bottom w:w="57" w:type="dxa"/>
            </w:tcMar>
            <w:vAlign w:val="center"/>
          </w:tcPr>
          <w:p w14:paraId="0F55EC62">
            <w:pPr>
              <w:adjustRightInd w:val="0"/>
              <w:snapToGrid w:val="0"/>
              <w:rPr>
                <w:rFonts w:hint="eastAsia"/>
              </w:rPr>
            </w:pPr>
            <w:r>
              <w:rPr>
                <w:rFonts w:hint="eastAsia"/>
              </w:rPr>
              <w:t>培养目标体现党的教育方针和立德树人根本任务，符合学校发展定位、适应区域经济社会发展对高素质技能型人才的需要和职业岗位要求</w:t>
            </w:r>
          </w:p>
        </w:tc>
        <w:tc>
          <w:tcPr>
            <w:tcW w:w="3830" w:type="dxa"/>
            <w:vAlign w:val="center"/>
          </w:tcPr>
          <w:p w14:paraId="6E5A2A3D">
            <w:pPr>
              <w:pStyle w:val="30"/>
              <w:snapToGrid w:val="0"/>
              <w:spacing w:line="240" w:lineRule="auto"/>
              <w:rPr>
                <w:rFonts w:hint="eastAsia" w:asciiTheme="minorEastAsia" w:hAnsiTheme="minorEastAsia" w:eastAsiaTheme="minorEastAsia"/>
                <w:b w:val="0"/>
                <w:szCs w:val="18"/>
                <w14:ligatures w14:val="none"/>
              </w:rPr>
            </w:pPr>
            <w:r>
              <w:rPr>
                <w:rFonts w:hint="eastAsia" w:asciiTheme="minorEastAsia" w:hAnsiTheme="minorEastAsia" w:eastAsiaTheme="minorEastAsia"/>
                <w:b w:val="0"/>
                <w:szCs w:val="18"/>
                <w14:ligatures w14:val="none"/>
              </w:rPr>
              <w:t>国家、行业和企业、校友以及学校内部对专业培养目标的预期调研原始材料，专业调研分析报告</w:t>
            </w:r>
          </w:p>
          <w:p w14:paraId="141360AC">
            <w:pPr>
              <w:adjustRightInd w:val="0"/>
              <w:snapToGrid w:val="0"/>
              <w:rPr>
                <w:rFonts w:hint="eastAsia"/>
              </w:rPr>
            </w:pPr>
            <w:r>
              <w:rPr>
                <w:rFonts w:hint="eastAsia"/>
              </w:rPr>
              <w:t>调研反馈信息在培养目标中的体现汇总材料，专业培养目标审核的过程材料</w:t>
            </w:r>
          </w:p>
        </w:tc>
        <w:tc>
          <w:tcPr>
            <w:tcW w:w="1305" w:type="dxa"/>
            <w:vAlign w:val="center"/>
          </w:tcPr>
          <w:p w14:paraId="4670595C">
            <w:pPr>
              <w:adjustRightInd w:val="0"/>
              <w:snapToGrid w:val="0"/>
              <w:ind w:firstLine="0" w:firstLineChars="0"/>
              <w:jc w:val="center"/>
              <w:rPr>
                <w:rFonts w:hint="eastAsia"/>
              </w:rPr>
            </w:pPr>
            <w:r>
              <w:t>证据判断法</w:t>
            </w:r>
          </w:p>
          <w:p w14:paraId="5F210512">
            <w:pPr>
              <w:adjustRightInd w:val="0"/>
              <w:snapToGrid w:val="0"/>
              <w:ind w:firstLine="0" w:firstLineChars="0"/>
              <w:jc w:val="center"/>
              <w:rPr>
                <w:rFonts w:hint="eastAsia"/>
              </w:rPr>
            </w:pPr>
            <w:r>
              <w:t>主观赋值法</w:t>
            </w:r>
          </w:p>
        </w:tc>
      </w:tr>
      <w:tr w14:paraId="420BB0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1006ABC9">
            <w:pPr>
              <w:adjustRightInd w:val="0"/>
              <w:snapToGrid w:val="0"/>
              <w:rPr>
                <w:rFonts w:hint="eastAsia"/>
              </w:rPr>
            </w:pPr>
          </w:p>
        </w:tc>
        <w:tc>
          <w:tcPr>
            <w:tcW w:w="1264" w:type="dxa"/>
            <w:vMerge w:val="continue"/>
            <w:tcMar>
              <w:top w:w="57" w:type="dxa"/>
              <w:bottom w:w="57" w:type="dxa"/>
            </w:tcMar>
            <w:vAlign w:val="center"/>
          </w:tcPr>
          <w:p w14:paraId="6AF8FF94">
            <w:pPr>
              <w:adjustRightInd w:val="0"/>
              <w:snapToGrid w:val="0"/>
              <w:rPr>
                <w:rFonts w:hint="eastAsia"/>
              </w:rPr>
            </w:pPr>
          </w:p>
        </w:tc>
        <w:tc>
          <w:tcPr>
            <w:tcW w:w="7698" w:type="dxa"/>
            <w:gridSpan w:val="3"/>
            <w:tcMar>
              <w:top w:w="57" w:type="dxa"/>
              <w:bottom w:w="57" w:type="dxa"/>
            </w:tcMar>
            <w:vAlign w:val="center"/>
          </w:tcPr>
          <w:p w14:paraId="6D71CE7E">
            <w:pPr>
              <w:adjustRightInd w:val="0"/>
              <w:snapToGrid w:val="0"/>
              <w:rPr>
                <w:rFonts w:hint="eastAsia"/>
              </w:rPr>
            </w:pPr>
            <w:r>
              <w:t>制定依据：与《教育部关于职业院校专业人才培养方案制订与实施工作的指导意见》（教职成〔2019〕13号）一（二）条款一致</w:t>
            </w:r>
          </w:p>
        </w:tc>
      </w:tr>
      <w:tr w14:paraId="6662F6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5572D104">
            <w:pPr>
              <w:adjustRightInd w:val="0"/>
              <w:snapToGrid w:val="0"/>
              <w:rPr>
                <w:rFonts w:hint="eastAsia"/>
              </w:rPr>
            </w:pPr>
          </w:p>
        </w:tc>
        <w:tc>
          <w:tcPr>
            <w:tcW w:w="1264" w:type="dxa"/>
            <w:vMerge w:val="continue"/>
            <w:tcMar>
              <w:top w:w="57" w:type="dxa"/>
              <w:bottom w:w="57" w:type="dxa"/>
            </w:tcMar>
            <w:vAlign w:val="center"/>
          </w:tcPr>
          <w:p w14:paraId="30C96D68">
            <w:pPr>
              <w:adjustRightInd w:val="0"/>
              <w:snapToGrid w:val="0"/>
              <w:rPr>
                <w:rFonts w:hint="eastAsia"/>
              </w:rPr>
            </w:pPr>
          </w:p>
        </w:tc>
        <w:tc>
          <w:tcPr>
            <w:tcW w:w="2563" w:type="dxa"/>
            <w:tcMar>
              <w:top w:w="57" w:type="dxa"/>
              <w:bottom w:w="57" w:type="dxa"/>
            </w:tcMar>
            <w:vAlign w:val="center"/>
          </w:tcPr>
          <w:p w14:paraId="3A76F849">
            <w:pPr>
              <w:adjustRightInd w:val="0"/>
              <w:snapToGrid w:val="0"/>
              <w:rPr>
                <w:rFonts w:hint="eastAsia"/>
              </w:rPr>
            </w:pPr>
            <w:r>
              <w:rPr>
                <w:rFonts w:hint="eastAsia"/>
              </w:rPr>
              <w:t>有专业人才培养方案的公开机制</w:t>
            </w:r>
          </w:p>
        </w:tc>
        <w:tc>
          <w:tcPr>
            <w:tcW w:w="3830" w:type="dxa"/>
            <w:vAlign w:val="center"/>
          </w:tcPr>
          <w:p w14:paraId="011FE9A1">
            <w:pPr>
              <w:adjustRightInd w:val="0"/>
              <w:snapToGrid w:val="0"/>
              <w:rPr>
                <w:rFonts w:hint="eastAsia"/>
              </w:rPr>
            </w:pPr>
            <w:r>
              <w:rPr>
                <w:rFonts w:hint="eastAsia"/>
              </w:rPr>
              <w:t>近三年专业人才培养方案的公开渠道和公开结果，向学生和教师宣贯的过程</w:t>
            </w:r>
            <w:r>
              <w:t>材料</w:t>
            </w:r>
          </w:p>
        </w:tc>
        <w:tc>
          <w:tcPr>
            <w:tcW w:w="1305" w:type="dxa"/>
            <w:vAlign w:val="center"/>
          </w:tcPr>
          <w:p w14:paraId="4052888D">
            <w:pPr>
              <w:adjustRightInd w:val="0"/>
              <w:snapToGrid w:val="0"/>
              <w:ind w:firstLine="0" w:firstLineChars="0"/>
              <w:jc w:val="center"/>
              <w:rPr>
                <w:rFonts w:hint="eastAsia"/>
              </w:rPr>
            </w:pPr>
            <w:r>
              <w:t>证据判断法</w:t>
            </w:r>
          </w:p>
          <w:p w14:paraId="394D5281">
            <w:pPr>
              <w:adjustRightInd w:val="0"/>
              <w:snapToGrid w:val="0"/>
              <w:ind w:firstLine="0" w:firstLineChars="0"/>
              <w:jc w:val="center"/>
              <w:rPr>
                <w:rFonts w:hint="eastAsia"/>
              </w:rPr>
            </w:pPr>
            <w:r>
              <w:t>主观赋值法</w:t>
            </w:r>
          </w:p>
        </w:tc>
      </w:tr>
      <w:tr w14:paraId="19795F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7D9886CF">
            <w:pPr>
              <w:adjustRightInd w:val="0"/>
              <w:snapToGrid w:val="0"/>
              <w:rPr>
                <w:rFonts w:hint="eastAsia"/>
              </w:rPr>
            </w:pPr>
          </w:p>
        </w:tc>
        <w:tc>
          <w:tcPr>
            <w:tcW w:w="1264" w:type="dxa"/>
            <w:vMerge w:val="continue"/>
            <w:tcMar>
              <w:top w:w="57" w:type="dxa"/>
              <w:bottom w:w="57" w:type="dxa"/>
            </w:tcMar>
            <w:vAlign w:val="center"/>
          </w:tcPr>
          <w:p w14:paraId="5F78B75F">
            <w:pPr>
              <w:adjustRightInd w:val="0"/>
              <w:snapToGrid w:val="0"/>
              <w:rPr>
                <w:rFonts w:hint="eastAsia"/>
              </w:rPr>
            </w:pPr>
          </w:p>
        </w:tc>
        <w:tc>
          <w:tcPr>
            <w:tcW w:w="7698" w:type="dxa"/>
            <w:gridSpan w:val="3"/>
            <w:tcMar>
              <w:top w:w="57" w:type="dxa"/>
              <w:bottom w:w="57" w:type="dxa"/>
            </w:tcMar>
            <w:vAlign w:val="center"/>
          </w:tcPr>
          <w:p w14:paraId="351FA13D">
            <w:pPr>
              <w:adjustRightInd w:val="0"/>
              <w:snapToGrid w:val="0"/>
              <w:rPr>
                <w:rFonts w:hint="eastAsia"/>
              </w:rPr>
            </w:pPr>
            <w:r>
              <w:t>制定依据：与《教育部关于职业院校专业人才培养方案制订与实施工作的指导意见》（教职成〔2019〕13号）三（四）条款一致</w:t>
            </w:r>
          </w:p>
        </w:tc>
      </w:tr>
      <w:tr w14:paraId="44C5BA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6062CF5B">
            <w:pPr>
              <w:adjustRightInd w:val="0"/>
              <w:snapToGrid w:val="0"/>
              <w:rPr>
                <w:rFonts w:hint="eastAsia"/>
              </w:rPr>
            </w:pPr>
          </w:p>
        </w:tc>
        <w:tc>
          <w:tcPr>
            <w:tcW w:w="1264" w:type="dxa"/>
            <w:vMerge w:val="restart"/>
            <w:tcMar>
              <w:top w:w="57" w:type="dxa"/>
              <w:bottom w:w="57" w:type="dxa"/>
            </w:tcMar>
            <w:vAlign w:val="center"/>
          </w:tcPr>
          <w:p w14:paraId="49B9CD58">
            <w:pPr>
              <w:adjustRightInd w:val="0"/>
              <w:snapToGrid w:val="0"/>
              <w:ind w:firstLine="0" w:firstLineChars="0"/>
              <w:jc w:val="center"/>
              <w:rPr>
                <w:rFonts w:hint="eastAsia"/>
              </w:rPr>
            </w:pPr>
            <w:r>
              <w:t>2.2目标修订</w:t>
            </w:r>
          </w:p>
        </w:tc>
        <w:tc>
          <w:tcPr>
            <w:tcW w:w="2563" w:type="dxa"/>
            <w:tcMar>
              <w:top w:w="57" w:type="dxa"/>
              <w:bottom w:w="57" w:type="dxa"/>
            </w:tcMar>
            <w:vAlign w:val="center"/>
          </w:tcPr>
          <w:p w14:paraId="78078966">
            <w:pPr>
              <w:adjustRightInd w:val="0"/>
              <w:snapToGrid w:val="0"/>
              <w:rPr>
                <w:rFonts w:hint="eastAsia"/>
              </w:rPr>
            </w:pPr>
            <w:r>
              <w:rPr>
                <w:rFonts w:hint="eastAsia"/>
              </w:rPr>
              <w:t>有专业人才培养方案修订机制，并定期评价培养目标的合理性，根据评价结果对培养目标进行修订、论证和审定</w:t>
            </w:r>
          </w:p>
          <w:p w14:paraId="542F057D">
            <w:pPr>
              <w:adjustRightInd w:val="0"/>
              <w:snapToGrid w:val="0"/>
              <w:rPr>
                <w:rFonts w:hint="eastAsia"/>
              </w:rPr>
            </w:pPr>
            <w:r>
              <w:rPr>
                <w:rFonts w:hint="eastAsia"/>
              </w:rPr>
              <w:t>评价与修订过程有行业、企业专家和校友参与，并通过</w:t>
            </w:r>
            <w:r>
              <w:rPr>
                <w:rFonts w:hint="eastAsia"/>
                <w:color w:val="000000" w:themeColor="text1"/>
                <w14:textFill>
                  <w14:solidFill>
                    <w14:schemeClr w14:val="tx1"/>
                  </w14:solidFill>
                </w14:textFill>
              </w:rPr>
              <w:t>校级党组织审定</w:t>
            </w:r>
          </w:p>
        </w:tc>
        <w:tc>
          <w:tcPr>
            <w:tcW w:w="3830" w:type="dxa"/>
            <w:vAlign w:val="center"/>
          </w:tcPr>
          <w:p w14:paraId="2AF27AEE">
            <w:pPr>
              <w:pStyle w:val="30"/>
              <w:snapToGrid w:val="0"/>
              <w:spacing w:line="240" w:lineRule="auto"/>
              <w:rPr>
                <w:b w:val="0"/>
                <w:bCs/>
              </w:rPr>
            </w:pPr>
            <w:r>
              <w:rPr>
                <w:rFonts w:hint="eastAsia"/>
                <w:b w:val="0"/>
                <w:bCs/>
              </w:rPr>
              <w:t>专业人才培养方案的修订机制文本和执行情况记录</w:t>
            </w:r>
          </w:p>
          <w:p w14:paraId="3362D33B">
            <w:pPr>
              <w:pStyle w:val="30"/>
              <w:snapToGrid w:val="0"/>
              <w:spacing w:line="240" w:lineRule="auto"/>
              <w:rPr>
                <w:b w:val="0"/>
                <w:bCs/>
              </w:rPr>
            </w:pPr>
            <w:r>
              <w:rPr>
                <w:rFonts w:hint="eastAsia"/>
                <w:b w:val="0"/>
                <w:bCs/>
              </w:rPr>
              <w:t>定期开展的培养目标合理性评价活动的原始材料，评价结果应用于专业培养目标修订的汇总材料</w:t>
            </w:r>
          </w:p>
          <w:p w14:paraId="714E3EF2">
            <w:pPr>
              <w:adjustRightInd w:val="0"/>
              <w:snapToGrid w:val="0"/>
              <w:rPr>
                <w:rFonts w:hint="eastAsia"/>
              </w:rPr>
            </w:pPr>
            <w:r>
              <w:rPr>
                <w:rFonts w:hint="eastAsia"/>
                <w:bCs/>
              </w:rPr>
              <w:t>行业企业、教研机构、校内外一线教师和学生代表等参加的论证会、校级党组织会议审定等过程性材料</w:t>
            </w:r>
          </w:p>
        </w:tc>
        <w:tc>
          <w:tcPr>
            <w:tcW w:w="1305" w:type="dxa"/>
            <w:vAlign w:val="center"/>
          </w:tcPr>
          <w:p w14:paraId="61D1B2D0">
            <w:pPr>
              <w:adjustRightInd w:val="0"/>
              <w:snapToGrid w:val="0"/>
              <w:ind w:firstLine="0" w:firstLineChars="0"/>
              <w:jc w:val="center"/>
              <w:rPr>
                <w:rFonts w:hint="eastAsia"/>
              </w:rPr>
            </w:pPr>
            <w:r>
              <w:t>证据判断法</w:t>
            </w:r>
          </w:p>
        </w:tc>
      </w:tr>
      <w:tr w14:paraId="072DB2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709BC06E">
            <w:pPr>
              <w:adjustRightInd w:val="0"/>
              <w:snapToGrid w:val="0"/>
              <w:rPr>
                <w:rFonts w:hint="eastAsia"/>
              </w:rPr>
            </w:pPr>
          </w:p>
        </w:tc>
        <w:tc>
          <w:tcPr>
            <w:tcW w:w="1264" w:type="dxa"/>
            <w:vMerge w:val="continue"/>
            <w:tcMar>
              <w:top w:w="57" w:type="dxa"/>
              <w:bottom w:w="57" w:type="dxa"/>
            </w:tcMar>
            <w:vAlign w:val="center"/>
          </w:tcPr>
          <w:p w14:paraId="22322F21">
            <w:pPr>
              <w:adjustRightInd w:val="0"/>
              <w:snapToGrid w:val="0"/>
              <w:rPr>
                <w:rFonts w:hint="eastAsia"/>
              </w:rPr>
            </w:pPr>
          </w:p>
        </w:tc>
        <w:tc>
          <w:tcPr>
            <w:tcW w:w="7698" w:type="dxa"/>
            <w:gridSpan w:val="3"/>
            <w:tcMar>
              <w:top w:w="57" w:type="dxa"/>
              <w:bottom w:w="57" w:type="dxa"/>
            </w:tcMar>
            <w:vAlign w:val="center"/>
          </w:tcPr>
          <w:p w14:paraId="7A46BF81">
            <w:pPr>
              <w:adjustRightInd w:val="0"/>
              <w:snapToGrid w:val="0"/>
              <w:rPr>
                <w:rFonts w:hint="eastAsia"/>
              </w:rPr>
            </w:pPr>
            <w:r>
              <w:t>制定依据：与《教育部关于职业院校专业人才培养方案制订与实施工作的指导意见》（教职成〔2019〕13号）三（三）条款一致</w:t>
            </w:r>
          </w:p>
        </w:tc>
      </w:tr>
      <w:tr w14:paraId="43571E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restart"/>
            <w:tcMar>
              <w:top w:w="57" w:type="dxa"/>
              <w:bottom w:w="57" w:type="dxa"/>
            </w:tcMar>
            <w:vAlign w:val="center"/>
          </w:tcPr>
          <w:p w14:paraId="7F2F1F07">
            <w:pPr>
              <w:adjustRightInd w:val="0"/>
              <w:snapToGrid w:val="0"/>
              <w:ind w:firstLine="0" w:firstLineChars="0"/>
              <w:jc w:val="center"/>
              <w:rPr>
                <w:rFonts w:hint="eastAsia"/>
              </w:rPr>
            </w:pPr>
            <w:r>
              <w:t>3毕业要求</w:t>
            </w:r>
          </w:p>
        </w:tc>
        <w:tc>
          <w:tcPr>
            <w:tcW w:w="1264" w:type="dxa"/>
            <w:vMerge w:val="restart"/>
            <w:tcMar>
              <w:top w:w="57" w:type="dxa"/>
              <w:bottom w:w="57" w:type="dxa"/>
            </w:tcMar>
            <w:vAlign w:val="center"/>
          </w:tcPr>
          <w:p w14:paraId="4DC640FC">
            <w:pPr>
              <w:adjustRightInd w:val="0"/>
              <w:snapToGrid w:val="0"/>
              <w:ind w:firstLine="0" w:firstLineChars="0"/>
              <w:jc w:val="center"/>
              <w:rPr>
                <w:rFonts w:hint="eastAsia"/>
              </w:rPr>
            </w:pPr>
            <w:r>
              <w:t>3.1总体要求</w:t>
            </w:r>
          </w:p>
        </w:tc>
        <w:tc>
          <w:tcPr>
            <w:tcW w:w="2563" w:type="dxa"/>
            <w:tcMar>
              <w:top w:w="57" w:type="dxa"/>
              <w:bottom w:w="57" w:type="dxa"/>
            </w:tcMar>
            <w:vAlign w:val="center"/>
          </w:tcPr>
          <w:p w14:paraId="49B7DDAF">
            <w:pPr>
              <w:adjustRightInd w:val="0"/>
              <w:snapToGrid w:val="0"/>
              <w:rPr>
                <w:rFonts w:hint="eastAsia"/>
              </w:rPr>
            </w:pPr>
            <w:r>
              <w:rPr>
                <w:rFonts w:hint="eastAsia"/>
              </w:rPr>
              <w:t>有明确、公开、可衡量的专业毕业要求，并建立定期修订机制</w:t>
            </w:r>
          </w:p>
          <w:p w14:paraId="2DC0701F">
            <w:pPr>
              <w:adjustRightInd w:val="0"/>
              <w:snapToGrid w:val="0"/>
              <w:rPr>
                <w:rFonts w:hint="eastAsia"/>
              </w:rPr>
            </w:pPr>
            <w:r>
              <w:rPr>
                <w:rFonts w:hint="eastAsia"/>
              </w:rPr>
              <w:t>毕业要求能支撑培养目标的达成，并覆盖本表格中3.2~3.9的二级指标</w:t>
            </w:r>
          </w:p>
        </w:tc>
        <w:tc>
          <w:tcPr>
            <w:tcW w:w="3830" w:type="dxa"/>
            <w:vAlign w:val="center"/>
          </w:tcPr>
          <w:p w14:paraId="4A9A1E2B">
            <w:pPr>
              <w:adjustRightInd w:val="0"/>
              <w:snapToGrid w:val="0"/>
              <w:rPr>
                <w:rFonts w:hint="eastAsia"/>
              </w:rPr>
            </w:pPr>
            <w:r>
              <w:rPr>
                <w:rFonts w:hint="eastAsia"/>
              </w:rPr>
              <w:t>专业教师研讨与学生了解毕业要求的活动材料，明确记载专业毕业要求公开的材料</w:t>
            </w:r>
          </w:p>
          <w:p w14:paraId="15842759">
            <w:pPr>
              <w:adjustRightInd w:val="0"/>
              <w:snapToGrid w:val="0"/>
              <w:rPr>
                <w:rFonts w:hint="eastAsia"/>
              </w:rPr>
            </w:pPr>
            <w:r>
              <w:rPr>
                <w:rFonts w:hint="eastAsia"/>
              </w:rPr>
              <w:t>近三年专业毕业要求达成情况评价及分析材料，毕业要求修订记录</w:t>
            </w:r>
          </w:p>
          <w:p w14:paraId="09E63F00">
            <w:pPr>
              <w:adjustRightInd w:val="0"/>
              <w:snapToGrid w:val="0"/>
              <w:rPr>
                <w:rFonts w:hint="eastAsia"/>
              </w:rPr>
            </w:pPr>
            <w:r>
              <w:rPr>
                <w:rFonts w:hint="eastAsia"/>
              </w:rPr>
              <w:t>描述和记载毕业要求与培养目标的支撑与对接关系的文本材料，毕业要求覆盖本表格3.2~3.9的二级指标的审核材料</w:t>
            </w:r>
          </w:p>
        </w:tc>
        <w:tc>
          <w:tcPr>
            <w:tcW w:w="1305" w:type="dxa"/>
            <w:vAlign w:val="center"/>
          </w:tcPr>
          <w:p w14:paraId="610BA948">
            <w:pPr>
              <w:adjustRightInd w:val="0"/>
              <w:snapToGrid w:val="0"/>
              <w:ind w:firstLine="0" w:firstLineChars="0"/>
              <w:jc w:val="center"/>
              <w:rPr>
                <w:rFonts w:hint="eastAsia"/>
              </w:rPr>
            </w:pPr>
            <w:r>
              <w:t>证据判断法</w:t>
            </w:r>
          </w:p>
          <w:p w14:paraId="176A1789">
            <w:pPr>
              <w:adjustRightInd w:val="0"/>
              <w:snapToGrid w:val="0"/>
              <w:ind w:firstLine="0" w:firstLineChars="0"/>
              <w:jc w:val="center"/>
              <w:rPr>
                <w:rFonts w:hint="eastAsia"/>
              </w:rPr>
            </w:pPr>
            <w:r>
              <w:t>量表法</w:t>
            </w:r>
          </w:p>
          <w:p w14:paraId="5C159738">
            <w:pPr>
              <w:adjustRightInd w:val="0"/>
              <w:snapToGrid w:val="0"/>
              <w:ind w:firstLine="0" w:firstLineChars="0"/>
              <w:jc w:val="center"/>
              <w:rPr>
                <w:rFonts w:hint="eastAsia"/>
              </w:rPr>
            </w:pPr>
            <w:r>
              <w:t>主观赋值法</w:t>
            </w:r>
          </w:p>
        </w:tc>
      </w:tr>
      <w:tr w14:paraId="42B1C5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004867EC">
            <w:pPr>
              <w:adjustRightInd w:val="0"/>
              <w:snapToGrid w:val="0"/>
              <w:rPr>
                <w:rFonts w:hint="eastAsia"/>
              </w:rPr>
            </w:pPr>
          </w:p>
        </w:tc>
        <w:tc>
          <w:tcPr>
            <w:tcW w:w="1264" w:type="dxa"/>
            <w:vMerge w:val="continue"/>
            <w:tcMar>
              <w:top w:w="57" w:type="dxa"/>
              <w:bottom w:w="57" w:type="dxa"/>
            </w:tcMar>
            <w:vAlign w:val="center"/>
          </w:tcPr>
          <w:p w14:paraId="74C77577">
            <w:pPr>
              <w:adjustRightInd w:val="0"/>
              <w:snapToGrid w:val="0"/>
              <w:rPr>
                <w:rFonts w:hint="eastAsia"/>
              </w:rPr>
            </w:pPr>
          </w:p>
        </w:tc>
        <w:tc>
          <w:tcPr>
            <w:tcW w:w="7698" w:type="dxa"/>
            <w:gridSpan w:val="3"/>
            <w:tcMar>
              <w:top w:w="57" w:type="dxa"/>
              <w:bottom w:w="57" w:type="dxa"/>
            </w:tcMar>
            <w:vAlign w:val="center"/>
          </w:tcPr>
          <w:p w14:paraId="22F240EF">
            <w:pPr>
              <w:adjustRightInd w:val="0"/>
              <w:snapToGrid w:val="0"/>
              <w:rPr>
                <w:rFonts w:hint="eastAsia"/>
              </w:rPr>
            </w:pPr>
            <w:r>
              <w:t>制定依据：与《教育部关于职业院校专业人才培养方案制订与实施工作的指导意见》（教职成〔2019〕13号）</w:t>
            </w:r>
            <w:bookmarkStart w:id="1" w:name="_Hlk197527539"/>
            <w:r>
              <w:t>五的条款一致</w:t>
            </w:r>
            <w:bookmarkEnd w:id="1"/>
          </w:p>
        </w:tc>
      </w:tr>
      <w:tr w14:paraId="519861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8F28D93">
            <w:pPr>
              <w:adjustRightInd w:val="0"/>
              <w:snapToGrid w:val="0"/>
              <w:rPr>
                <w:rFonts w:hint="eastAsia"/>
              </w:rPr>
            </w:pPr>
          </w:p>
        </w:tc>
        <w:tc>
          <w:tcPr>
            <w:tcW w:w="1264" w:type="dxa"/>
            <w:vMerge w:val="restart"/>
            <w:tcMar>
              <w:top w:w="57" w:type="dxa"/>
              <w:bottom w:w="57" w:type="dxa"/>
            </w:tcMar>
            <w:vAlign w:val="center"/>
          </w:tcPr>
          <w:p w14:paraId="4C2E2495">
            <w:pPr>
              <w:adjustRightInd w:val="0"/>
              <w:snapToGrid w:val="0"/>
              <w:ind w:firstLine="0" w:firstLineChars="0"/>
              <w:jc w:val="center"/>
              <w:rPr>
                <w:rFonts w:hint="eastAsia"/>
              </w:rPr>
            </w:pPr>
            <w:r>
              <w:t>3.2知识领域</w:t>
            </w:r>
          </w:p>
        </w:tc>
        <w:tc>
          <w:tcPr>
            <w:tcW w:w="2563" w:type="dxa"/>
            <w:tcMar>
              <w:top w:w="57" w:type="dxa"/>
              <w:bottom w:w="57" w:type="dxa"/>
            </w:tcMar>
            <w:vAlign w:val="center"/>
          </w:tcPr>
          <w:p w14:paraId="213E3C5A">
            <w:pPr>
              <w:adjustRightInd w:val="0"/>
              <w:snapToGrid w:val="0"/>
              <w:rPr>
                <w:rFonts w:hint="eastAsia"/>
              </w:rPr>
            </w:pPr>
            <w:r>
              <w:rPr>
                <w:rFonts w:hint="eastAsia"/>
              </w:rPr>
              <w:t>能将公共基础知识、专业知识用于解决生产现场技术与产品问题</w:t>
            </w:r>
          </w:p>
        </w:tc>
        <w:tc>
          <w:tcPr>
            <w:tcW w:w="3830" w:type="dxa"/>
            <w:vAlign w:val="center"/>
          </w:tcPr>
          <w:p w14:paraId="6B9E0276">
            <w:pPr>
              <w:adjustRightInd w:val="0"/>
              <w:snapToGrid w:val="0"/>
              <w:rPr>
                <w:rFonts w:hint="eastAsia"/>
              </w:rPr>
            </w:pPr>
            <w:r>
              <w:rPr>
                <w:rFonts w:hint="eastAsia"/>
              </w:rPr>
              <w:t>专业课程中融合公共基础知识、专业知识解决生产现场技术与产品问题的教学项目或案例汇总材料</w:t>
            </w:r>
          </w:p>
          <w:p w14:paraId="27D16ACB">
            <w:pPr>
              <w:adjustRightInd w:val="0"/>
              <w:snapToGrid w:val="0"/>
              <w:rPr>
                <w:rFonts w:hint="eastAsia"/>
              </w:rPr>
            </w:pPr>
            <w:r>
              <w:rPr>
                <w:rFonts w:hint="eastAsia"/>
              </w:rPr>
              <w:t>学生运用公共基础知识、专业知识解决生产现场技术与产品问题的学习成果汇总与分析材料</w:t>
            </w:r>
          </w:p>
        </w:tc>
        <w:tc>
          <w:tcPr>
            <w:tcW w:w="1305" w:type="dxa"/>
            <w:vAlign w:val="center"/>
          </w:tcPr>
          <w:p w14:paraId="27FAC663">
            <w:pPr>
              <w:adjustRightInd w:val="0"/>
              <w:snapToGrid w:val="0"/>
              <w:ind w:firstLine="0" w:firstLineChars="0"/>
              <w:jc w:val="center"/>
              <w:rPr>
                <w:rFonts w:hint="eastAsia"/>
              </w:rPr>
            </w:pPr>
            <w:r>
              <w:t>证据判断法</w:t>
            </w:r>
          </w:p>
          <w:p w14:paraId="5A99993B">
            <w:pPr>
              <w:adjustRightInd w:val="0"/>
              <w:snapToGrid w:val="0"/>
              <w:ind w:firstLine="0" w:firstLineChars="0"/>
              <w:jc w:val="center"/>
              <w:rPr>
                <w:rFonts w:hint="eastAsia"/>
              </w:rPr>
            </w:pPr>
            <w:r>
              <w:t>量表法</w:t>
            </w:r>
          </w:p>
        </w:tc>
      </w:tr>
      <w:tr w14:paraId="251F07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5DDD4E49">
            <w:pPr>
              <w:adjustRightInd w:val="0"/>
              <w:snapToGrid w:val="0"/>
              <w:rPr>
                <w:rFonts w:hint="eastAsia"/>
              </w:rPr>
            </w:pPr>
          </w:p>
        </w:tc>
        <w:tc>
          <w:tcPr>
            <w:tcW w:w="1264" w:type="dxa"/>
            <w:vMerge w:val="continue"/>
            <w:tcMar>
              <w:top w:w="57" w:type="dxa"/>
              <w:bottom w:w="57" w:type="dxa"/>
            </w:tcMar>
            <w:vAlign w:val="center"/>
          </w:tcPr>
          <w:p w14:paraId="0E112442">
            <w:pPr>
              <w:adjustRightInd w:val="0"/>
              <w:snapToGrid w:val="0"/>
              <w:rPr>
                <w:rFonts w:hint="eastAsia"/>
              </w:rPr>
            </w:pPr>
          </w:p>
        </w:tc>
        <w:tc>
          <w:tcPr>
            <w:tcW w:w="7698" w:type="dxa"/>
            <w:gridSpan w:val="3"/>
            <w:tcMar>
              <w:top w:w="57" w:type="dxa"/>
              <w:bottom w:w="57" w:type="dxa"/>
            </w:tcMar>
            <w:vAlign w:val="center"/>
          </w:tcPr>
          <w:p w14:paraId="42A8B45E">
            <w:pPr>
              <w:adjustRightInd w:val="0"/>
              <w:snapToGrid w:val="0"/>
              <w:rPr>
                <w:rFonts w:hint="eastAsia"/>
              </w:rPr>
            </w:pPr>
            <w:r>
              <w:t>制定依据：与《教育部关于职业院校专业人才培养方案制订与实施工作的指导意见》（教职成〔2019〕13号）二（二）1条款符合</w:t>
            </w:r>
          </w:p>
          <w:p w14:paraId="5D1C636C">
            <w:pPr>
              <w:adjustRightInd w:val="0"/>
              <w:snapToGrid w:val="0"/>
              <w:rPr>
                <w:rFonts w:hint="eastAsia"/>
              </w:rPr>
            </w:pPr>
            <w:r>
              <w:t>知识领域中的知识包括人文与社会科学知识、自然科学知识、专业基础知识、专业特定知识、前沿知识及跨学科知识等</w:t>
            </w:r>
          </w:p>
        </w:tc>
      </w:tr>
      <w:tr w14:paraId="38D0D4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2807CFF">
            <w:pPr>
              <w:adjustRightInd w:val="0"/>
              <w:snapToGrid w:val="0"/>
              <w:rPr>
                <w:rFonts w:hint="eastAsia"/>
              </w:rPr>
            </w:pPr>
          </w:p>
        </w:tc>
        <w:tc>
          <w:tcPr>
            <w:tcW w:w="1264" w:type="dxa"/>
            <w:vMerge w:val="restart"/>
            <w:tcMar>
              <w:top w:w="57" w:type="dxa"/>
              <w:bottom w:w="57" w:type="dxa"/>
            </w:tcMar>
            <w:vAlign w:val="center"/>
          </w:tcPr>
          <w:p w14:paraId="06481151">
            <w:pPr>
              <w:adjustRightInd w:val="0"/>
              <w:snapToGrid w:val="0"/>
              <w:ind w:firstLine="0" w:firstLineChars="0"/>
              <w:jc w:val="center"/>
              <w:rPr>
                <w:rFonts w:hint="eastAsia"/>
              </w:rPr>
            </w:pPr>
            <w:r>
              <w:t>3.3工具使用</w:t>
            </w:r>
          </w:p>
        </w:tc>
        <w:tc>
          <w:tcPr>
            <w:tcW w:w="2563" w:type="dxa"/>
            <w:tcMar>
              <w:top w:w="57" w:type="dxa"/>
              <w:bottom w:w="57" w:type="dxa"/>
            </w:tcMar>
            <w:vAlign w:val="center"/>
          </w:tcPr>
          <w:p w14:paraId="15CCF944">
            <w:pPr>
              <w:adjustRightInd w:val="0"/>
              <w:snapToGrid w:val="0"/>
              <w:rPr>
                <w:rFonts w:hint="eastAsia"/>
              </w:rPr>
            </w:pPr>
            <w:r>
              <w:rPr>
                <w:rFonts w:hint="eastAsia"/>
              </w:rPr>
              <w:t>能选择与使用恰当的工具解决生产现场技术与产品问题</w:t>
            </w:r>
          </w:p>
        </w:tc>
        <w:tc>
          <w:tcPr>
            <w:tcW w:w="3830" w:type="dxa"/>
            <w:vAlign w:val="center"/>
          </w:tcPr>
          <w:p w14:paraId="738358F4">
            <w:pPr>
              <w:adjustRightInd w:val="0"/>
              <w:snapToGrid w:val="0"/>
              <w:rPr>
                <w:rFonts w:hint="eastAsia"/>
              </w:rPr>
            </w:pPr>
            <w:r>
              <w:rPr>
                <w:rFonts w:hint="eastAsia"/>
              </w:rPr>
              <w:t>使用工具解决生产现场技术与产品问题的教学项目或案例的汇总材料</w:t>
            </w:r>
          </w:p>
          <w:p w14:paraId="10F86BC6">
            <w:pPr>
              <w:adjustRightInd w:val="0"/>
              <w:snapToGrid w:val="0"/>
              <w:rPr>
                <w:rFonts w:hint="eastAsia"/>
              </w:rPr>
            </w:pPr>
            <w:r>
              <w:rPr>
                <w:rFonts w:hint="eastAsia"/>
              </w:rPr>
              <w:t>学生选择与使用工具解决生产现场技术与产品问题的学习成果汇总与分析材料</w:t>
            </w:r>
          </w:p>
        </w:tc>
        <w:tc>
          <w:tcPr>
            <w:tcW w:w="1305" w:type="dxa"/>
            <w:vAlign w:val="center"/>
          </w:tcPr>
          <w:p w14:paraId="254B4A65">
            <w:pPr>
              <w:adjustRightInd w:val="0"/>
              <w:snapToGrid w:val="0"/>
              <w:ind w:firstLine="0" w:firstLineChars="0"/>
              <w:jc w:val="center"/>
              <w:rPr>
                <w:rFonts w:hint="eastAsia"/>
              </w:rPr>
            </w:pPr>
            <w:r>
              <w:t>证据判断法</w:t>
            </w:r>
          </w:p>
          <w:p w14:paraId="5471D8C3">
            <w:pPr>
              <w:adjustRightInd w:val="0"/>
              <w:snapToGrid w:val="0"/>
              <w:ind w:firstLine="0" w:firstLineChars="0"/>
              <w:jc w:val="center"/>
              <w:rPr>
                <w:rFonts w:hint="eastAsia"/>
              </w:rPr>
            </w:pPr>
            <w:r>
              <w:t>量表法</w:t>
            </w:r>
          </w:p>
          <w:p w14:paraId="2E95830A">
            <w:pPr>
              <w:adjustRightInd w:val="0"/>
              <w:snapToGrid w:val="0"/>
              <w:ind w:firstLine="0" w:firstLineChars="0"/>
              <w:jc w:val="center"/>
              <w:rPr>
                <w:rFonts w:hint="eastAsia"/>
              </w:rPr>
            </w:pPr>
            <w:r>
              <w:t>试验/测量法</w:t>
            </w:r>
          </w:p>
        </w:tc>
      </w:tr>
      <w:tr w14:paraId="672A77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E64B4A5">
            <w:pPr>
              <w:adjustRightInd w:val="0"/>
              <w:snapToGrid w:val="0"/>
              <w:rPr>
                <w:rFonts w:hint="eastAsia"/>
              </w:rPr>
            </w:pPr>
          </w:p>
        </w:tc>
        <w:tc>
          <w:tcPr>
            <w:tcW w:w="1264" w:type="dxa"/>
            <w:vMerge w:val="continue"/>
            <w:tcMar>
              <w:top w:w="57" w:type="dxa"/>
              <w:bottom w:w="57" w:type="dxa"/>
            </w:tcMar>
            <w:vAlign w:val="center"/>
          </w:tcPr>
          <w:p w14:paraId="3872EC51">
            <w:pPr>
              <w:adjustRightInd w:val="0"/>
              <w:snapToGrid w:val="0"/>
              <w:rPr>
                <w:rFonts w:hint="eastAsia"/>
              </w:rPr>
            </w:pPr>
          </w:p>
        </w:tc>
        <w:tc>
          <w:tcPr>
            <w:tcW w:w="7698" w:type="dxa"/>
            <w:gridSpan w:val="3"/>
            <w:tcMar>
              <w:top w:w="57" w:type="dxa"/>
              <w:bottom w:w="57" w:type="dxa"/>
            </w:tcMar>
            <w:vAlign w:val="center"/>
          </w:tcPr>
          <w:p w14:paraId="2BE0B91E">
            <w:pPr>
              <w:adjustRightInd w:val="0"/>
              <w:snapToGrid w:val="0"/>
              <w:rPr>
                <w:rFonts w:hint="eastAsia"/>
              </w:rPr>
            </w:pPr>
            <w:r>
              <w:t>制定依据：与《教育部职业教育专业教学标准-2025修（制）订》机械设计制造、工程材料技术、机电设备、自动化等高职专业类的要求一致</w:t>
            </w:r>
          </w:p>
        </w:tc>
      </w:tr>
      <w:tr w14:paraId="28AE43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633C637B">
            <w:pPr>
              <w:adjustRightInd w:val="0"/>
              <w:snapToGrid w:val="0"/>
              <w:rPr>
                <w:rFonts w:hint="eastAsia"/>
              </w:rPr>
            </w:pPr>
          </w:p>
        </w:tc>
        <w:tc>
          <w:tcPr>
            <w:tcW w:w="1264" w:type="dxa"/>
            <w:vMerge w:val="restart"/>
            <w:tcMar>
              <w:top w:w="57" w:type="dxa"/>
              <w:bottom w:w="57" w:type="dxa"/>
            </w:tcMar>
            <w:vAlign w:val="center"/>
          </w:tcPr>
          <w:p w14:paraId="1EC15986">
            <w:pPr>
              <w:adjustRightInd w:val="0"/>
              <w:snapToGrid w:val="0"/>
              <w:ind w:firstLine="0" w:firstLineChars="0"/>
              <w:jc w:val="center"/>
              <w:rPr>
                <w:rFonts w:hint="eastAsia"/>
              </w:rPr>
            </w:pPr>
            <w:r>
              <w:t>3.4技能掌握</w:t>
            </w:r>
          </w:p>
        </w:tc>
        <w:tc>
          <w:tcPr>
            <w:tcW w:w="2563" w:type="dxa"/>
            <w:tcMar>
              <w:top w:w="57" w:type="dxa"/>
              <w:bottom w:w="57" w:type="dxa"/>
            </w:tcMar>
            <w:vAlign w:val="center"/>
          </w:tcPr>
          <w:p w14:paraId="7A943C79">
            <w:pPr>
              <w:adjustRightInd w:val="0"/>
              <w:snapToGrid w:val="0"/>
              <w:rPr>
                <w:rFonts w:hint="eastAsia"/>
              </w:rPr>
            </w:pPr>
            <w:r>
              <w:rPr>
                <w:rFonts w:hint="eastAsia"/>
              </w:rPr>
              <w:t>具备本专业领域岗位群的基础性技能，并具有至少一项与本专业紧密关联的技能</w:t>
            </w:r>
          </w:p>
        </w:tc>
        <w:tc>
          <w:tcPr>
            <w:tcW w:w="3830" w:type="dxa"/>
            <w:vAlign w:val="center"/>
          </w:tcPr>
          <w:p w14:paraId="23E0E326">
            <w:pPr>
              <w:adjustRightInd w:val="0"/>
              <w:snapToGrid w:val="0"/>
              <w:rPr>
                <w:rFonts w:hint="eastAsia"/>
              </w:rPr>
            </w:pPr>
            <w:r>
              <w:rPr>
                <w:rFonts w:hint="eastAsia"/>
              </w:rPr>
              <w:t>业课程中基础性技能训练的项目、案例和学习成果的汇总材料</w:t>
            </w:r>
          </w:p>
          <w:p w14:paraId="0576DF95">
            <w:pPr>
              <w:adjustRightInd w:val="0"/>
              <w:snapToGrid w:val="0"/>
              <w:rPr>
                <w:rFonts w:hint="eastAsia"/>
              </w:rPr>
            </w:pPr>
            <w:r>
              <w:rPr>
                <w:rFonts w:hint="eastAsia"/>
              </w:rPr>
              <w:t>学生获得的与本专业紧密关联的专业技能证书汇总材料</w:t>
            </w:r>
          </w:p>
          <w:p w14:paraId="3C6C0223">
            <w:pPr>
              <w:adjustRightInd w:val="0"/>
              <w:snapToGrid w:val="0"/>
              <w:rPr>
                <w:rFonts w:hint="eastAsia"/>
              </w:rPr>
            </w:pPr>
            <w:r>
              <w:rPr>
                <w:rFonts w:hint="eastAsia"/>
              </w:rPr>
              <w:t>学生技能的现场测试材料</w:t>
            </w:r>
          </w:p>
        </w:tc>
        <w:tc>
          <w:tcPr>
            <w:tcW w:w="1305" w:type="dxa"/>
            <w:vAlign w:val="center"/>
          </w:tcPr>
          <w:p w14:paraId="169ADC99">
            <w:pPr>
              <w:adjustRightInd w:val="0"/>
              <w:snapToGrid w:val="0"/>
              <w:ind w:firstLine="0" w:firstLineChars="0"/>
              <w:jc w:val="center"/>
              <w:rPr>
                <w:rFonts w:hint="eastAsia"/>
              </w:rPr>
            </w:pPr>
            <w:r>
              <w:t>证据判断法</w:t>
            </w:r>
          </w:p>
          <w:p w14:paraId="4E0D91ED">
            <w:pPr>
              <w:adjustRightInd w:val="0"/>
              <w:snapToGrid w:val="0"/>
              <w:ind w:firstLine="0" w:firstLineChars="0"/>
              <w:jc w:val="center"/>
              <w:rPr>
                <w:rFonts w:hint="eastAsia"/>
              </w:rPr>
            </w:pPr>
            <w:r>
              <w:t>量表法</w:t>
            </w:r>
          </w:p>
          <w:p w14:paraId="79A421B6">
            <w:pPr>
              <w:adjustRightInd w:val="0"/>
              <w:snapToGrid w:val="0"/>
              <w:ind w:firstLine="0" w:firstLineChars="0"/>
              <w:jc w:val="center"/>
              <w:rPr>
                <w:rFonts w:hint="eastAsia"/>
              </w:rPr>
            </w:pPr>
            <w:r>
              <w:t>试验/测量法</w:t>
            </w:r>
          </w:p>
        </w:tc>
      </w:tr>
      <w:tr w14:paraId="516A69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40621239">
            <w:pPr>
              <w:adjustRightInd w:val="0"/>
              <w:snapToGrid w:val="0"/>
              <w:rPr>
                <w:rFonts w:hint="eastAsia"/>
              </w:rPr>
            </w:pPr>
          </w:p>
        </w:tc>
        <w:tc>
          <w:tcPr>
            <w:tcW w:w="1264" w:type="dxa"/>
            <w:vMerge w:val="continue"/>
            <w:tcMar>
              <w:top w:w="57" w:type="dxa"/>
              <w:bottom w:w="57" w:type="dxa"/>
            </w:tcMar>
            <w:vAlign w:val="center"/>
          </w:tcPr>
          <w:p w14:paraId="0D61EFAC">
            <w:pPr>
              <w:adjustRightInd w:val="0"/>
              <w:snapToGrid w:val="0"/>
              <w:rPr>
                <w:rFonts w:hint="eastAsia"/>
              </w:rPr>
            </w:pPr>
          </w:p>
        </w:tc>
        <w:tc>
          <w:tcPr>
            <w:tcW w:w="7698" w:type="dxa"/>
            <w:gridSpan w:val="3"/>
            <w:tcMar>
              <w:top w:w="57" w:type="dxa"/>
              <w:bottom w:w="57" w:type="dxa"/>
            </w:tcMar>
            <w:vAlign w:val="center"/>
          </w:tcPr>
          <w:p w14:paraId="01346098">
            <w:pPr>
              <w:adjustRightInd w:val="0"/>
              <w:snapToGrid w:val="0"/>
              <w:rPr>
                <w:rFonts w:hint="eastAsia"/>
              </w:rPr>
            </w:pPr>
            <w:r>
              <w:t>制定依据：与《国家职业教育改革实施方案》（国发〔2019〕4号）二（六）条款一致</w:t>
            </w:r>
          </w:p>
        </w:tc>
      </w:tr>
      <w:tr w14:paraId="2A2C57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7A50F760">
            <w:pPr>
              <w:adjustRightInd w:val="0"/>
              <w:snapToGrid w:val="0"/>
              <w:rPr>
                <w:rFonts w:hint="eastAsia"/>
              </w:rPr>
            </w:pPr>
          </w:p>
        </w:tc>
        <w:tc>
          <w:tcPr>
            <w:tcW w:w="1264" w:type="dxa"/>
            <w:vMerge w:val="restart"/>
            <w:tcMar>
              <w:top w:w="57" w:type="dxa"/>
              <w:bottom w:w="57" w:type="dxa"/>
            </w:tcMar>
            <w:vAlign w:val="center"/>
          </w:tcPr>
          <w:p w14:paraId="0F2F0CFF">
            <w:pPr>
              <w:adjustRightInd w:val="0"/>
              <w:snapToGrid w:val="0"/>
              <w:ind w:firstLine="0" w:firstLineChars="0"/>
              <w:jc w:val="center"/>
              <w:rPr>
                <w:rFonts w:hint="eastAsia"/>
              </w:rPr>
            </w:pPr>
            <w:r>
              <w:t>3.5问题解决</w:t>
            </w:r>
          </w:p>
        </w:tc>
        <w:tc>
          <w:tcPr>
            <w:tcW w:w="2563" w:type="dxa"/>
            <w:tcMar>
              <w:top w:w="57" w:type="dxa"/>
              <w:bottom w:w="57" w:type="dxa"/>
            </w:tcMar>
            <w:vAlign w:val="center"/>
          </w:tcPr>
          <w:p w14:paraId="1B125480">
            <w:pPr>
              <w:adjustRightInd w:val="0"/>
              <w:snapToGrid w:val="0"/>
              <w:rPr>
                <w:rFonts w:hint="eastAsia"/>
              </w:rPr>
            </w:pPr>
            <w:r>
              <w:rPr>
                <w:rFonts w:hint="eastAsia"/>
              </w:rPr>
              <w:t>能综合运用课程学习中所习得的知识、技能和创新能力，解决生产现场技术与产品问题</w:t>
            </w:r>
          </w:p>
        </w:tc>
        <w:tc>
          <w:tcPr>
            <w:tcW w:w="3830" w:type="dxa"/>
            <w:vAlign w:val="center"/>
          </w:tcPr>
          <w:p w14:paraId="29407F61">
            <w:pPr>
              <w:adjustRightInd w:val="0"/>
              <w:snapToGrid w:val="0"/>
              <w:rPr>
                <w:rFonts w:hint="eastAsia"/>
              </w:rPr>
            </w:pPr>
            <w:r>
              <w:rPr>
                <w:rFonts w:hint="eastAsia"/>
              </w:rPr>
              <w:t>专业调研收集需解决的生产现场技术与产品问题的综合性项目或案例汇总材料，以及相应的综合性教学项目或案例汇总材料</w:t>
            </w:r>
          </w:p>
          <w:p w14:paraId="2A636DA7">
            <w:pPr>
              <w:adjustRightInd w:val="0"/>
              <w:snapToGrid w:val="0"/>
              <w:rPr>
                <w:rFonts w:hint="eastAsia"/>
              </w:rPr>
            </w:pPr>
            <w:r>
              <w:rPr>
                <w:rFonts w:hint="eastAsia"/>
              </w:rPr>
              <w:t>通过综合性项目或案例教学，学生习得的问题分析方法、解决方案设计、实施过程操作等方面取得的学习成果汇总分析材料</w:t>
            </w:r>
          </w:p>
        </w:tc>
        <w:tc>
          <w:tcPr>
            <w:tcW w:w="1305" w:type="dxa"/>
            <w:vAlign w:val="center"/>
          </w:tcPr>
          <w:p w14:paraId="43726919">
            <w:pPr>
              <w:adjustRightInd w:val="0"/>
              <w:snapToGrid w:val="0"/>
              <w:ind w:firstLine="0" w:firstLineChars="0"/>
              <w:jc w:val="center"/>
              <w:rPr>
                <w:rFonts w:hint="eastAsia"/>
              </w:rPr>
            </w:pPr>
            <w:r>
              <w:t>证据判断法</w:t>
            </w:r>
          </w:p>
          <w:p w14:paraId="1736BE39">
            <w:pPr>
              <w:adjustRightInd w:val="0"/>
              <w:snapToGrid w:val="0"/>
              <w:ind w:firstLine="0" w:firstLineChars="0"/>
              <w:jc w:val="center"/>
              <w:rPr>
                <w:rFonts w:hint="eastAsia"/>
              </w:rPr>
            </w:pPr>
            <w:r>
              <w:t>量表法</w:t>
            </w:r>
          </w:p>
        </w:tc>
      </w:tr>
      <w:tr w14:paraId="32843B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02348EBD">
            <w:pPr>
              <w:adjustRightInd w:val="0"/>
              <w:snapToGrid w:val="0"/>
              <w:rPr>
                <w:rFonts w:hint="eastAsia"/>
              </w:rPr>
            </w:pPr>
          </w:p>
        </w:tc>
        <w:tc>
          <w:tcPr>
            <w:tcW w:w="1264" w:type="dxa"/>
            <w:vMerge w:val="continue"/>
            <w:tcMar>
              <w:top w:w="57" w:type="dxa"/>
              <w:bottom w:w="57" w:type="dxa"/>
            </w:tcMar>
            <w:vAlign w:val="center"/>
          </w:tcPr>
          <w:p w14:paraId="35549206">
            <w:pPr>
              <w:adjustRightInd w:val="0"/>
              <w:snapToGrid w:val="0"/>
              <w:rPr>
                <w:rFonts w:hint="eastAsia"/>
              </w:rPr>
            </w:pPr>
          </w:p>
        </w:tc>
        <w:tc>
          <w:tcPr>
            <w:tcW w:w="7698" w:type="dxa"/>
            <w:gridSpan w:val="3"/>
            <w:tcMar>
              <w:top w:w="57" w:type="dxa"/>
              <w:bottom w:w="57" w:type="dxa"/>
            </w:tcMar>
            <w:vAlign w:val="center"/>
          </w:tcPr>
          <w:p w14:paraId="0872ADDA">
            <w:pPr>
              <w:adjustRightInd w:val="0"/>
              <w:snapToGrid w:val="0"/>
              <w:rPr>
                <w:rFonts w:hint="eastAsia"/>
              </w:rPr>
            </w:pPr>
            <w:r>
              <w:t>制定依据：与《中华人民共和国职业教育法》（2022年修订）第三条、第三十条符合</w:t>
            </w:r>
          </w:p>
        </w:tc>
      </w:tr>
      <w:tr w14:paraId="51A8324C">
        <w:tblPrEx>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15DCCD36">
            <w:pPr>
              <w:adjustRightInd w:val="0"/>
              <w:snapToGrid w:val="0"/>
              <w:rPr>
                <w:rFonts w:hint="eastAsia"/>
              </w:rPr>
            </w:pPr>
          </w:p>
        </w:tc>
        <w:tc>
          <w:tcPr>
            <w:tcW w:w="1264" w:type="dxa"/>
            <w:vMerge w:val="restart"/>
            <w:tcMar>
              <w:top w:w="57" w:type="dxa"/>
              <w:bottom w:w="57" w:type="dxa"/>
            </w:tcMar>
            <w:vAlign w:val="center"/>
          </w:tcPr>
          <w:p w14:paraId="52B945E4">
            <w:pPr>
              <w:adjustRightInd w:val="0"/>
              <w:snapToGrid w:val="0"/>
              <w:ind w:firstLine="0" w:firstLineChars="0"/>
              <w:jc w:val="center"/>
              <w:rPr>
                <w:rFonts w:hint="eastAsia"/>
              </w:rPr>
            </w:pPr>
            <w:r>
              <w:t>3.6社会责任</w:t>
            </w:r>
          </w:p>
        </w:tc>
        <w:tc>
          <w:tcPr>
            <w:tcW w:w="2563" w:type="dxa"/>
            <w:tcMar>
              <w:top w:w="57" w:type="dxa"/>
              <w:bottom w:w="57" w:type="dxa"/>
            </w:tcMar>
            <w:vAlign w:val="center"/>
          </w:tcPr>
          <w:p w14:paraId="28BB1B4A">
            <w:pPr>
              <w:adjustRightInd w:val="0"/>
              <w:snapToGrid w:val="0"/>
              <w:rPr>
                <w:rFonts w:hint="eastAsia"/>
              </w:rPr>
            </w:pPr>
            <w:r>
              <w:rPr>
                <w:rFonts w:hint="eastAsia"/>
              </w:rPr>
              <w:t>能自觉践行社会主义核心价值观，基于专业相关背景分析和评价专业活动对安全生产、绿色环保、法律法规以及行业文化的影响，并理解应承担的责任</w:t>
            </w:r>
          </w:p>
        </w:tc>
        <w:tc>
          <w:tcPr>
            <w:tcW w:w="3830" w:type="dxa"/>
            <w:vAlign w:val="center"/>
          </w:tcPr>
          <w:p w14:paraId="2D12A918">
            <w:pPr>
              <w:adjustRightInd w:val="0"/>
              <w:snapToGrid w:val="0"/>
              <w:rPr>
                <w:rFonts w:hint="eastAsia"/>
              </w:rPr>
            </w:pPr>
            <w:r>
              <w:rPr>
                <w:rFonts w:hint="eastAsia"/>
              </w:rPr>
              <w:t>专业课程体系内外涉及的社会主义核心价值观引导、安全生产、绿色环保、法律法规以及行业文化的教学活动设计与实施记录材料</w:t>
            </w:r>
          </w:p>
          <w:p w14:paraId="3FEDD4F0">
            <w:pPr>
              <w:adjustRightInd w:val="0"/>
              <w:snapToGrid w:val="0"/>
              <w:rPr>
                <w:rFonts w:hint="eastAsia"/>
              </w:rPr>
            </w:pPr>
            <w:r>
              <w:rPr>
                <w:rFonts w:hint="eastAsia"/>
              </w:rPr>
              <w:t>学生相应的学习成果汇总材料</w:t>
            </w:r>
          </w:p>
        </w:tc>
        <w:tc>
          <w:tcPr>
            <w:tcW w:w="1305" w:type="dxa"/>
            <w:vAlign w:val="center"/>
          </w:tcPr>
          <w:p w14:paraId="220EBF26">
            <w:pPr>
              <w:adjustRightInd w:val="0"/>
              <w:snapToGrid w:val="0"/>
              <w:ind w:firstLine="0" w:firstLineChars="0"/>
              <w:jc w:val="center"/>
              <w:rPr>
                <w:rFonts w:hint="eastAsia"/>
              </w:rPr>
            </w:pPr>
            <w:r>
              <w:t>证据判断法</w:t>
            </w:r>
          </w:p>
          <w:p w14:paraId="2AC7E4FB">
            <w:pPr>
              <w:adjustRightInd w:val="0"/>
              <w:snapToGrid w:val="0"/>
              <w:ind w:firstLine="0" w:firstLineChars="0"/>
              <w:jc w:val="center"/>
              <w:rPr>
                <w:rFonts w:hint="eastAsia"/>
              </w:rPr>
            </w:pPr>
            <w:r>
              <w:t>量表法</w:t>
            </w:r>
          </w:p>
        </w:tc>
      </w:tr>
      <w:tr w14:paraId="695358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C9E6188">
            <w:pPr>
              <w:adjustRightInd w:val="0"/>
              <w:snapToGrid w:val="0"/>
              <w:rPr>
                <w:rFonts w:hint="eastAsia"/>
              </w:rPr>
            </w:pPr>
          </w:p>
        </w:tc>
        <w:tc>
          <w:tcPr>
            <w:tcW w:w="1264" w:type="dxa"/>
            <w:vMerge w:val="continue"/>
            <w:tcMar>
              <w:top w:w="57" w:type="dxa"/>
              <w:bottom w:w="57" w:type="dxa"/>
            </w:tcMar>
            <w:vAlign w:val="center"/>
          </w:tcPr>
          <w:p w14:paraId="231062AB">
            <w:pPr>
              <w:adjustRightInd w:val="0"/>
              <w:snapToGrid w:val="0"/>
              <w:rPr>
                <w:rFonts w:hint="eastAsia"/>
              </w:rPr>
            </w:pPr>
          </w:p>
        </w:tc>
        <w:tc>
          <w:tcPr>
            <w:tcW w:w="7698" w:type="dxa"/>
            <w:gridSpan w:val="3"/>
            <w:tcMar>
              <w:top w:w="57" w:type="dxa"/>
              <w:bottom w:w="57" w:type="dxa"/>
            </w:tcMar>
            <w:vAlign w:val="center"/>
          </w:tcPr>
          <w:p w14:paraId="46A5FFCE">
            <w:pPr>
              <w:adjustRightInd w:val="0"/>
              <w:snapToGrid w:val="0"/>
              <w:rPr>
                <w:rFonts w:hint="eastAsia"/>
              </w:rPr>
            </w:pPr>
            <w:r>
              <w:t>制定依据：与《中华人民共和国职业教育法》（2022年修订）第四条符合</w:t>
            </w:r>
          </w:p>
        </w:tc>
      </w:tr>
      <w:tr w14:paraId="426DF6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D83926F">
            <w:pPr>
              <w:adjustRightInd w:val="0"/>
              <w:snapToGrid w:val="0"/>
              <w:rPr>
                <w:rFonts w:hint="eastAsia"/>
              </w:rPr>
            </w:pPr>
          </w:p>
        </w:tc>
        <w:tc>
          <w:tcPr>
            <w:tcW w:w="1264" w:type="dxa"/>
            <w:vMerge w:val="restart"/>
            <w:tcMar>
              <w:top w:w="57" w:type="dxa"/>
              <w:bottom w:w="57" w:type="dxa"/>
            </w:tcMar>
            <w:vAlign w:val="center"/>
          </w:tcPr>
          <w:p w14:paraId="7B9588DB">
            <w:pPr>
              <w:adjustRightInd w:val="0"/>
              <w:snapToGrid w:val="0"/>
              <w:ind w:firstLine="0" w:firstLineChars="0"/>
              <w:jc w:val="center"/>
              <w:rPr>
                <w:rFonts w:hint="eastAsia"/>
              </w:rPr>
            </w:pPr>
            <w:r>
              <w:t>3.7职业规范</w:t>
            </w:r>
          </w:p>
        </w:tc>
        <w:tc>
          <w:tcPr>
            <w:tcW w:w="2563" w:type="dxa"/>
            <w:tcMar>
              <w:top w:w="57" w:type="dxa"/>
              <w:bottom w:w="57" w:type="dxa"/>
            </w:tcMar>
            <w:vAlign w:val="center"/>
          </w:tcPr>
          <w:p w14:paraId="32B04646">
            <w:pPr>
              <w:adjustRightInd w:val="0"/>
              <w:snapToGrid w:val="0"/>
              <w:rPr>
                <w:rFonts w:hint="eastAsia"/>
              </w:rPr>
            </w:pPr>
            <w:r>
              <w:rPr>
                <w:rFonts w:hint="eastAsia"/>
              </w:rPr>
              <w:t>能理解并遵守职业道德和机械行业工作规范，自觉履行岗位职责</w:t>
            </w:r>
          </w:p>
        </w:tc>
        <w:tc>
          <w:tcPr>
            <w:tcW w:w="3830" w:type="dxa"/>
            <w:vAlign w:val="center"/>
          </w:tcPr>
          <w:p w14:paraId="2F84CA11">
            <w:pPr>
              <w:adjustRightInd w:val="0"/>
              <w:snapToGrid w:val="0"/>
              <w:rPr>
                <w:rFonts w:hint="eastAsia"/>
              </w:rPr>
            </w:pPr>
            <w:r>
              <w:rPr>
                <w:rFonts w:hint="eastAsia"/>
              </w:rPr>
              <w:t>专业课程体系内外教学活动中所涉及的职业言行规范、流程规范、工作纪律、标准执行、5S生产现场管理等教学活动设计与实施情况过程性汇总材料</w:t>
            </w:r>
          </w:p>
          <w:p w14:paraId="1448B177">
            <w:pPr>
              <w:adjustRightInd w:val="0"/>
              <w:snapToGrid w:val="0"/>
              <w:rPr>
                <w:rFonts w:hint="eastAsia"/>
              </w:rPr>
            </w:pPr>
            <w:r>
              <w:rPr>
                <w:rFonts w:hint="eastAsia"/>
              </w:rPr>
              <w:t>学生习得职业规范的学习成果汇总材料</w:t>
            </w:r>
          </w:p>
        </w:tc>
        <w:tc>
          <w:tcPr>
            <w:tcW w:w="1305" w:type="dxa"/>
            <w:vAlign w:val="center"/>
          </w:tcPr>
          <w:p w14:paraId="43CCDA0D">
            <w:pPr>
              <w:adjustRightInd w:val="0"/>
              <w:snapToGrid w:val="0"/>
              <w:ind w:firstLine="0" w:firstLineChars="0"/>
              <w:jc w:val="center"/>
              <w:rPr>
                <w:rFonts w:hint="eastAsia"/>
              </w:rPr>
            </w:pPr>
            <w:r>
              <w:t>证据判断法</w:t>
            </w:r>
          </w:p>
          <w:p w14:paraId="24D60AED">
            <w:pPr>
              <w:adjustRightInd w:val="0"/>
              <w:snapToGrid w:val="0"/>
              <w:ind w:firstLine="0" w:firstLineChars="0"/>
              <w:jc w:val="center"/>
              <w:rPr>
                <w:rFonts w:hint="eastAsia"/>
              </w:rPr>
            </w:pPr>
            <w:r>
              <w:t>量表法</w:t>
            </w:r>
          </w:p>
        </w:tc>
      </w:tr>
      <w:tr w14:paraId="5E337F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0F9BFBE6">
            <w:pPr>
              <w:adjustRightInd w:val="0"/>
              <w:snapToGrid w:val="0"/>
              <w:rPr>
                <w:rFonts w:hint="eastAsia"/>
              </w:rPr>
            </w:pPr>
          </w:p>
        </w:tc>
        <w:tc>
          <w:tcPr>
            <w:tcW w:w="1264" w:type="dxa"/>
            <w:vMerge w:val="continue"/>
            <w:tcMar>
              <w:top w:w="57" w:type="dxa"/>
              <w:bottom w:w="57" w:type="dxa"/>
            </w:tcMar>
            <w:vAlign w:val="center"/>
          </w:tcPr>
          <w:p w14:paraId="6E1B65DE">
            <w:pPr>
              <w:adjustRightInd w:val="0"/>
              <w:snapToGrid w:val="0"/>
              <w:rPr>
                <w:rFonts w:hint="eastAsia"/>
              </w:rPr>
            </w:pPr>
          </w:p>
        </w:tc>
        <w:tc>
          <w:tcPr>
            <w:tcW w:w="7698" w:type="dxa"/>
            <w:gridSpan w:val="3"/>
            <w:tcMar>
              <w:top w:w="57" w:type="dxa"/>
              <w:bottom w:w="57" w:type="dxa"/>
            </w:tcMar>
            <w:vAlign w:val="center"/>
          </w:tcPr>
          <w:p w14:paraId="2C1FE225">
            <w:pPr>
              <w:adjustRightInd w:val="0"/>
              <w:snapToGrid w:val="0"/>
              <w:rPr>
                <w:rFonts w:hint="eastAsia"/>
              </w:rPr>
            </w:pPr>
            <w:r>
              <w:t>制定依据：与教育部《高等学校课程思政建设指导纲要》（2020年）四、五相关要求符合</w:t>
            </w:r>
          </w:p>
        </w:tc>
      </w:tr>
      <w:tr w14:paraId="50E15E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78BDBDCA">
            <w:pPr>
              <w:adjustRightInd w:val="0"/>
              <w:snapToGrid w:val="0"/>
              <w:rPr>
                <w:rFonts w:hint="eastAsia"/>
              </w:rPr>
            </w:pPr>
          </w:p>
        </w:tc>
        <w:tc>
          <w:tcPr>
            <w:tcW w:w="1264" w:type="dxa"/>
            <w:vMerge w:val="restart"/>
            <w:tcMar>
              <w:top w:w="57" w:type="dxa"/>
              <w:bottom w:w="57" w:type="dxa"/>
            </w:tcMar>
            <w:vAlign w:val="center"/>
          </w:tcPr>
          <w:p w14:paraId="2226F388">
            <w:pPr>
              <w:adjustRightInd w:val="0"/>
              <w:snapToGrid w:val="0"/>
              <w:ind w:firstLine="0" w:firstLineChars="0"/>
              <w:jc w:val="center"/>
              <w:rPr>
                <w:rFonts w:hint="eastAsia"/>
              </w:rPr>
            </w:pPr>
            <w:r>
              <w:t>3.8合作交流</w:t>
            </w:r>
          </w:p>
        </w:tc>
        <w:tc>
          <w:tcPr>
            <w:tcW w:w="2563" w:type="dxa"/>
            <w:tcMar>
              <w:top w:w="57" w:type="dxa"/>
              <w:bottom w:w="57" w:type="dxa"/>
            </w:tcMar>
            <w:vAlign w:val="center"/>
          </w:tcPr>
          <w:p w14:paraId="4B5979B4">
            <w:pPr>
              <w:adjustRightInd w:val="0"/>
              <w:snapToGrid w:val="0"/>
              <w:rPr>
                <w:rFonts w:hint="eastAsia"/>
              </w:rPr>
            </w:pPr>
            <w:r>
              <w:rPr>
                <w:rFonts w:hint="eastAsia"/>
              </w:rPr>
              <w:t>能在专业工作项目中胜任团队成员或负责人职责</w:t>
            </w:r>
          </w:p>
          <w:p w14:paraId="429ECB4D">
            <w:pPr>
              <w:adjustRightInd w:val="0"/>
              <w:snapToGrid w:val="0"/>
              <w:rPr>
                <w:rFonts w:hint="eastAsia"/>
              </w:rPr>
            </w:pPr>
            <w:r>
              <w:rPr>
                <w:rFonts w:hint="eastAsia"/>
              </w:rPr>
              <w:t>能在专业活动领域与具有不同文化背景的合作伙伴进行有效沟通与协作</w:t>
            </w:r>
          </w:p>
        </w:tc>
        <w:tc>
          <w:tcPr>
            <w:tcW w:w="3830" w:type="dxa"/>
            <w:vAlign w:val="center"/>
          </w:tcPr>
          <w:p w14:paraId="60EA2BCD">
            <w:pPr>
              <w:adjustRightInd w:val="0"/>
              <w:snapToGrid w:val="0"/>
              <w:rPr>
                <w:rFonts w:hint="eastAsia"/>
              </w:rPr>
            </w:pPr>
            <w:r>
              <w:rPr>
                <w:rFonts w:hint="eastAsia"/>
              </w:rPr>
              <w:t>业课程体系内外涉及合作交流的教学活动设计与实施记录汇总材料</w:t>
            </w:r>
          </w:p>
          <w:p w14:paraId="129F47B8">
            <w:pPr>
              <w:adjustRightInd w:val="0"/>
              <w:snapToGrid w:val="0"/>
              <w:rPr>
                <w:rFonts w:hint="eastAsia"/>
              </w:rPr>
            </w:pPr>
            <w:r>
              <w:rPr>
                <w:rFonts w:hint="eastAsia"/>
              </w:rPr>
              <w:t>学生习得的合作交流学习成果的汇总材料</w:t>
            </w:r>
          </w:p>
        </w:tc>
        <w:tc>
          <w:tcPr>
            <w:tcW w:w="1305" w:type="dxa"/>
            <w:vAlign w:val="center"/>
          </w:tcPr>
          <w:p w14:paraId="038F1512">
            <w:pPr>
              <w:adjustRightInd w:val="0"/>
              <w:snapToGrid w:val="0"/>
              <w:ind w:firstLine="0" w:firstLineChars="0"/>
              <w:jc w:val="center"/>
              <w:rPr>
                <w:rFonts w:hint="eastAsia"/>
              </w:rPr>
            </w:pPr>
            <w:r>
              <w:t>证据判断法</w:t>
            </w:r>
          </w:p>
          <w:p w14:paraId="232801FF">
            <w:pPr>
              <w:adjustRightInd w:val="0"/>
              <w:snapToGrid w:val="0"/>
              <w:ind w:firstLine="0" w:firstLineChars="0"/>
              <w:jc w:val="center"/>
              <w:rPr>
                <w:rFonts w:hint="eastAsia"/>
              </w:rPr>
            </w:pPr>
            <w:r>
              <w:t>量表法</w:t>
            </w:r>
          </w:p>
        </w:tc>
      </w:tr>
      <w:tr w14:paraId="2488C0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70FE4C56">
            <w:pPr>
              <w:adjustRightInd w:val="0"/>
              <w:snapToGrid w:val="0"/>
              <w:rPr>
                <w:rFonts w:hint="eastAsia"/>
              </w:rPr>
            </w:pPr>
          </w:p>
        </w:tc>
        <w:tc>
          <w:tcPr>
            <w:tcW w:w="1264" w:type="dxa"/>
            <w:vMerge w:val="continue"/>
            <w:tcMar>
              <w:top w:w="57" w:type="dxa"/>
              <w:bottom w:w="57" w:type="dxa"/>
            </w:tcMar>
            <w:vAlign w:val="center"/>
          </w:tcPr>
          <w:p w14:paraId="66C38117">
            <w:pPr>
              <w:adjustRightInd w:val="0"/>
              <w:snapToGrid w:val="0"/>
              <w:ind w:firstLine="0" w:firstLineChars="0"/>
              <w:jc w:val="center"/>
              <w:rPr>
                <w:rFonts w:hint="eastAsia"/>
              </w:rPr>
            </w:pPr>
          </w:p>
        </w:tc>
        <w:tc>
          <w:tcPr>
            <w:tcW w:w="7698" w:type="dxa"/>
            <w:gridSpan w:val="3"/>
            <w:tcMar>
              <w:top w:w="57" w:type="dxa"/>
              <w:bottom w:w="57" w:type="dxa"/>
            </w:tcMar>
            <w:vAlign w:val="center"/>
          </w:tcPr>
          <w:p w14:paraId="753C4750">
            <w:pPr>
              <w:adjustRightInd w:val="0"/>
              <w:snapToGrid w:val="0"/>
              <w:rPr>
                <w:rFonts w:hint="eastAsia"/>
              </w:rPr>
            </w:pPr>
            <w:r>
              <w:t>制定依据：与中共中央办公厅 国务院办公厅《关于推动现代职业教育高质量发展的意见》（2021年），六（十八）、六（十九）条款一致</w:t>
            </w:r>
          </w:p>
        </w:tc>
      </w:tr>
      <w:tr w14:paraId="5308D2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2D5B172E">
            <w:pPr>
              <w:adjustRightInd w:val="0"/>
              <w:snapToGrid w:val="0"/>
              <w:rPr>
                <w:rFonts w:hint="eastAsia"/>
              </w:rPr>
            </w:pPr>
          </w:p>
        </w:tc>
        <w:tc>
          <w:tcPr>
            <w:tcW w:w="1264" w:type="dxa"/>
            <w:vMerge w:val="restart"/>
            <w:tcMar>
              <w:top w:w="57" w:type="dxa"/>
              <w:bottom w:w="57" w:type="dxa"/>
            </w:tcMar>
            <w:vAlign w:val="center"/>
          </w:tcPr>
          <w:p w14:paraId="1A950B17">
            <w:pPr>
              <w:adjustRightInd w:val="0"/>
              <w:snapToGrid w:val="0"/>
              <w:ind w:firstLine="0" w:firstLineChars="0"/>
              <w:jc w:val="center"/>
              <w:rPr>
                <w:rFonts w:hint="eastAsia"/>
              </w:rPr>
            </w:pPr>
            <w:r>
              <w:t>3.9终身学习</w:t>
            </w:r>
          </w:p>
        </w:tc>
        <w:tc>
          <w:tcPr>
            <w:tcW w:w="2563" w:type="dxa"/>
            <w:tcMar>
              <w:top w:w="57" w:type="dxa"/>
              <w:bottom w:w="57" w:type="dxa"/>
            </w:tcMar>
            <w:vAlign w:val="center"/>
          </w:tcPr>
          <w:p w14:paraId="62D740DA">
            <w:pPr>
              <w:adjustRightInd w:val="0"/>
              <w:snapToGrid w:val="0"/>
              <w:rPr>
                <w:rFonts w:hint="eastAsia"/>
              </w:rPr>
            </w:pPr>
            <w:r>
              <w:rPr>
                <w:rFonts w:hint="eastAsia"/>
              </w:rPr>
              <w:t>有自主学习和终身学习的意识和能力</w:t>
            </w:r>
          </w:p>
        </w:tc>
        <w:tc>
          <w:tcPr>
            <w:tcW w:w="3830" w:type="dxa"/>
            <w:vAlign w:val="center"/>
          </w:tcPr>
          <w:p w14:paraId="76DFE0AE">
            <w:pPr>
              <w:adjustRightInd w:val="0"/>
              <w:snapToGrid w:val="0"/>
              <w:rPr>
                <w:rFonts w:hint="eastAsia"/>
              </w:rPr>
            </w:pPr>
            <w:r>
              <w:rPr>
                <w:rFonts w:hint="eastAsia"/>
              </w:rPr>
              <w:t>专业课程体系内外涉及自主学习和终身学习项目汇总材料</w:t>
            </w:r>
          </w:p>
          <w:p w14:paraId="05BB6C39">
            <w:pPr>
              <w:adjustRightInd w:val="0"/>
              <w:snapToGrid w:val="0"/>
              <w:rPr>
                <w:rFonts w:hint="eastAsia"/>
              </w:rPr>
            </w:pPr>
            <w:r>
              <w:rPr>
                <w:rFonts w:hint="eastAsia"/>
              </w:rPr>
              <w:t>学生自主学习和终身学习成果汇总材料</w:t>
            </w:r>
          </w:p>
        </w:tc>
        <w:tc>
          <w:tcPr>
            <w:tcW w:w="1305" w:type="dxa"/>
            <w:vAlign w:val="center"/>
          </w:tcPr>
          <w:p w14:paraId="023387AD">
            <w:pPr>
              <w:adjustRightInd w:val="0"/>
              <w:snapToGrid w:val="0"/>
              <w:ind w:firstLine="0" w:firstLineChars="0"/>
              <w:jc w:val="center"/>
              <w:rPr>
                <w:rFonts w:hint="eastAsia"/>
              </w:rPr>
            </w:pPr>
            <w:r>
              <w:t>证据判断法</w:t>
            </w:r>
          </w:p>
          <w:p w14:paraId="0DE89779">
            <w:pPr>
              <w:adjustRightInd w:val="0"/>
              <w:snapToGrid w:val="0"/>
              <w:ind w:firstLine="0" w:firstLineChars="0"/>
              <w:jc w:val="center"/>
              <w:rPr>
                <w:rFonts w:hint="eastAsia"/>
              </w:rPr>
            </w:pPr>
            <w:r>
              <w:t>量表法</w:t>
            </w:r>
          </w:p>
          <w:p w14:paraId="2F07A319">
            <w:pPr>
              <w:adjustRightInd w:val="0"/>
              <w:snapToGrid w:val="0"/>
              <w:ind w:firstLine="0" w:firstLineChars="0"/>
              <w:jc w:val="center"/>
              <w:rPr>
                <w:rFonts w:hint="eastAsia"/>
              </w:rPr>
            </w:pPr>
            <w:r>
              <w:t>主观赋值法</w:t>
            </w:r>
          </w:p>
        </w:tc>
      </w:tr>
      <w:tr w14:paraId="434590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146DDECA">
            <w:pPr>
              <w:adjustRightInd w:val="0"/>
              <w:snapToGrid w:val="0"/>
              <w:rPr>
                <w:rFonts w:hint="eastAsia"/>
              </w:rPr>
            </w:pPr>
          </w:p>
        </w:tc>
        <w:tc>
          <w:tcPr>
            <w:tcW w:w="1264" w:type="dxa"/>
            <w:vMerge w:val="continue"/>
            <w:tcMar>
              <w:top w:w="57" w:type="dxa"/>
              <w:bottom w:w="57" w:type="dxa"/>
            </w:tcMar>
            <w:vAlign w:val="center"/>
          </w:tcPr>
          <w:p w14:paraId="56089E1C">
            <w:pPr>
              <w:adjustRightInd w:val="0"/>
              <w:snapToGrid w:val="0"/>
              <w:ind w:firstLine="0" w:firstLineChars="0"/>
              <w:jc w:val="center"/>
              <w:rPr>
                <w:rFonts w:hint="eastAsia"/>
              </w:rPr>
            </w:pPr>
          </w:p>
        </w:tc>
        <w:tc>
          <w:tcPr>
            <w:tcW w:w="7698" w:type="dxa"/>
            <w:gridSpan w:val="3"/>
            <w:tcMar>
              <w:top w:w="57" w:type="dxa"/>
              <w:bottom w:w="57" w:type="dxa"/>
            </w:tcMar>
            <w:vAlign w:val="center"/>
          </w:tcPr>
          <w:p w14:paraId="23A670E4">
            <w:pPr>
              <w:adjustRightInd w:val="0"/>
              <w:snapToGrid w:val="0"/>
              <w:rPr>
                <w:rFonts w:hint="eastAsia"/>
              </w:rPr>
            </w:pPr>
            <w:r>
              <w:t>制定依据：与《中华人民共和国职业教育法》（2022年修订），第四条、第三十一条符合</w:t>
            </w:r>
          </w:p>
        </w:tc>
      </w:tr>
      <w:tr w14:paraId="20F9D3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restart"/>
            <w:tcMar>
              <w:top w:w="57" w:type="dxa"/>
              <w:bottom w:w="57" w:type="dxa"/>
            </w:tcMar>
            <w:vAlign w:val="center"/>
          </w:tcPr>
          <w:p w14:paraId="5ECD13DE">
            <w:pPr>
              <w:adjustRightInd w:val="0"/>
              <w:snapToGrid w:val="0"/>
              <w:ind w:firstLine="0" w:firstLineChars="0"/>
              <w:jc w:val="center"/>
              <w:rPr>
                <w:rFonts w:hint="eastAsia"/>
              </w:rPr>
            </w:pPr>
            <w:r>
              <w:t>4课程体系</w:t>
            </w:r>
          </w:p>
        </w:tc>
        <w:tc>
          <w:tcPr>
            <w:tcW w:w="1264" w:type="dxa"/>
            <w:vMerge w:val="restart"/>
            <w:tcMar>
              <w:top w:w="57" w:type="dxa"/>
              <w:bottom w:w="57" w:type="dxa"/>
            </w:tcMar>
            <w:vAlign w:val="center"/>
          </w:tcPr>
          <w:p w14:paraId="7C801A9D">
            <w:pPr>
              <w:adjustRightInd w:val="0"/>
              <w:snapToGrid w:val="0"/>
              <w:ind w:firstLine="0" w:firstLineChars="0"/>
              <w:jc w:val="center"/>
              <w:rPr>
                <w:rFonts w:hint="eastAsia"/>
              </w:rPr>
            </w:pPr>
            <w:r>
              <w:t>4.1课程设置</w:t>
            </w:r>
          </w:p>
        </w:tc>
        <w:tc>
          <w:tcPr>
            <w:tcW w:w="2563" w:type="dxa"/>
            <w:tcMar>
              <w:top w:w="57" w:type="dxa"/>
              <w:bottom w:w="57" w:type="dxa"/>
            </w:tcMar>
            <w:vAlign w:val="center"/>
          </w:tcPr>
          <w:p w14:paraId="5989F99C">
            <w:pPr>
              <w:adjustRightInd w:val="0"/>
              <w:snapToGrid w:val="0"/>
              <w:rPr>
                <w:rFonts w:hint="eastAsia"/>
              </w:rPr>
            </w:pPr>
            <w:r>
              <w:rPr>
                <w:rFonts w:hint="eastAsia"/>
              </w:rPr>
              <w:t>有课程建设相关制度，课程设置有行业、企业专家参与</w:t>
            </w:r>
          </w:p>
          <w:p w14:paraId="1D39CA30">
            <w:pPr>
              <w:adjustRightInd w:val="0"/>
              <w:snapToGrid w:val="0"/>
              <w:rPr>
                <w:rFonts w:hint="eastAsia"/>
              </w:rPr>
            </w:pPr>
            <w:r>
              <w:rPr>
                <w:rFonts w:hint="eastAsia"/>
              </w:rPr>
              <w:t>有针对不同生源的差异化专业课程体系，课程体系能有效支撑毕业要求</w:t>
            </w:r>
          </w:p>
        </w:tc>
        <w:tc>
          <w:tcPr>
            <w:tcW w:w="3830" w:type="dxa"/>
            <w:vAlign w:val="center"/>
          </w:tcPr>
          <w:p w14:paraId="4D0E5839">
            <w:pPr>
              <w:adjustRightInd w:val="0"/>
              <w:snapToGrid w:val="0"/>
              <w:rPr>
                <w:rFonts w:hint="eastAsia"/>
              </w:rPr>
            </w:pPr>
            <w:r>
              <w:rPr>
                <w:rFonts w:hint="eastAsia"/>
              </w:rPr>
              <w:t>课程建设相关制度及执行情况记录，课程标准、课程建设成果汇总材料；近三年行业、企业专家对专业课程设置的意见与建议，专业采纳情况的说明</w:t>
            </w:r>
          </w:p>
          <w:p w14:paraId="3A5B52CE">
            <w:pPr>
              <w:adjustRightInd w:val="0"/>
              <w:snapToGrid w:val="0"/>
              <w:rPr>
                <w:rFonts w:hint="eastAsia"/>
              </w:rPr>
            </w:pPr>
            <w:r>
              <w:rPr>
                <w:rFonts w:hint="eastAsia"/>
              </w:rPr>
              <w:t>针对不同生源的课程设置说明材料，课程体系与毕业要求的支撑关系说明材料</w:t>
            </w:r>
          </w:p>
        </w:tc>
        <w:tc>
          <w:tcPr>
            <w:tcW w:w="1305" w:type="dxa"/>
            <w:vAlign w:val="center"/>
          </w:tcPr>
          <w:p w14:paraId="5C848958">
            <w:pPr>
              <w:adjustRightInd w:val="0"/>
              <w:snapToGrid w:val="0"/>
              <w:ind w:firstLine="0" w:firstLineChars="0"/>
              <w:jc w:val="center"/>
              <w:rPr>
                <w:rFonts w:hint="eastAsia"/>
              </w:rPr>
            </w:pPr>
            <w:r>
              <w:t>证据判断法</w:t>
            </w:r>
          </w:p>
          <w:p w14:paraId="6395CD02">
            <w:pPr>
              <w:adjustRightInd w:val="0"/>
              <w:snapToGrid w:val="0"/>
              <w:ind w:firstLine="0" w:firstLineChars="0"/>
              <w:jc w:val="center"/>
              <w:rPr>
                <w:rFonts w:hint="eastAsia"/>
              </w:rPr>
            </w:pPr>
            <w:r>
              <w:t>量表法</w:t>
            </w:r>
          </w:p>
          <w:p w14:paraId="04E6AFFB">
            <w:pPr>
              <w:adjustRightInd w:val="0"/>
              <w:snapToGrid w:val="0"/>
              <w:ind w:firstLine="0" w:firstLineChars="0"/>
              <w:jc w:val="center"/>
              <w:rPr>
                <w:rFonts w:hint="eastAsia"/>
              </w:rPr>
            </w:pPr>
            <w:r>
              <w:t>主观赋值法</w:t>
            </w:r>
          </w:p>
        </w:tc>
      </w:tr>
      <w:tr w14:paraId="791566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2B2178C7">
            <w:pPr>
              <w:adjustRightInd w:val="0"/>
              <w:snapToGrid w:val="0"/>
              <w:rPr>
                <w:rFonts w:hint="eastAsia"/>
              </w:rPr>
            </w:pPr>
          </w:p>
        </w:tc>
        <w:tc>
          <w:tcPr>
            <w:tcW w:w="1264" w:type="dxa"/>
            <w:vMerge w:val="continue"/>
            <w:tcMar>
              <w:top w:w="57" w:type="dxa"/>
              <w:bottom w:w="57" w:type="dxa"/>
            </w:tcMar>
            <w:vAlign w:val="center"/>
          </w:tcPr>
          <w:p w14:paraId="3E233DD7">
            <w:pPr>
              <w:adjustRightInd w:val="0"/>
              <w:snapToGrid w:val="0"/>
              <w:ind w:firstLine="0" w:firstLineChars="0"/>
              <w:jc w:val="center"/>
              <w:rPr>
                <w:rFonts w:hint="eastAsia"/>
              </w:rPr>
            </w:pPr>
          </w:p>
        </w:tc>
        <w:tc>
          <w:tcPr>
            <w:tcW w:w="7698" w:type="dxa"/>
            <w:gridSpan w:val="3"/>
            <w:tcMar>
              <w:top w:w="57" w:type="dxa"/>
              <w:bottom w:w="57" w:type="dxa"/>
            </w:tcMar>
            <w:vAlign w:val="center"/>
          </w:tcPr>
          <w:p w14:paraId="690828E2">
            <w:pPr>
              <w:adjustRightInd w:val="0"/>
              <w:snapToGrid w:val="0"/>
              <w:rPr>
                <w:rFonts w:hint="eastAsia"/>
              </w:rPr>
            </w:pPr>
            <w:r>
              <w:t>制定依据：与《教育部职业教育专业教学标准-2025修（制）订》机械设计制造、工程材料技术、机电设备、自动化等高职专业类的要求符合</w:t>
            </w:r>
          </w:p>
        </w:tc>
      </w:tr>
      <w:tr w14:paraId="29B008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4513CF3B">
            <w:pPr>
              <w:adjustRightInd w:val="0"/>
              <w:snapToGrid w:val="0"/>
              <w:rPr>
                <w:rFonts w:hint="eastAsia"/>
              </w:rPr>
            </w:pPr>
          </w:p>
        </w:tc>
        <w:tc>
          <w:tcPr>
            <w:tcW w:w="1264" w:type="dxa"/>
            <w:vMerge w:val="continue"/>
            <w:tcMar>
              <w:top w:w="57" w:type="dxa"/>
              <w:bottom w:w="57" w:type="dxa"/>
            </w:tcMar>
            <w:vAlign w:val="center"/>
          </w:tcPr>
          <w:p w14:paraId="2401F176">
            <w:pPr>
              <w:adjustRightInd w:val="0"/>
              <w:snapToGrid w:val="0"/>
              <w:ind w:firstLine="0" w:firstLineChars="0"/>
              <w:jc w:val="center"/>
              <w:rPr>
                <w:rFonts w:hint="eastAsia"/>
              </w:rPr>
            </w:pPr>
          </w:p>
        </w:tc>
        <w:tc>
          <w:tcPr>
            <w:tcW w:w="2563" w:type="dxa"/>
            <w:tcMar>
              <w:top w:w="57" w:type="dxa"/>
              <w:bottom w:w="57" w:type="dxa"/>
            </w:tcMar>
            <w:vAlign w:val="center"/>
          </w:tcPr>
          <w:p w14:paraId="79990C56">
            <w:pPr>
              <w:adjustRightInd w:val="0"/>
              <w:snapToGrid w:val="0"/>
              <w:rPr>
                <w:rFonts w:hint="eastAsia"/>
              </w:rPr>
            </w:pPr>
            <w:r>
              <w:rPr>
                <w:rFonts w:hint="eastAsia"/>
              </w:rPr>
              <w:t>三年制专科专业总学时不少于教育部专业教学标准的规定，选修课学时数占总学时的比例不少于10%</w:t>
            </w:r>
          </w:p>
        </w:tc>
        <w:tc>
          <w:tcPr>
            <w:tcW w:w="3830" w:type="dxa"/>
            <w:vAlign w:val="center"/>
          </w:tcPr>
          <w:p w14:paraId="7F7B4297">
            <w:pPr>
              <w:adjustRightInd w:val="0"/>
              <w:snapToGrid w:val="0"/>
              <w:rPr>
                <w:rFonts w:hint="eastAsia"/>
              </w:rPr>
            </w:pPr>
            <w:r>
              <w:rPr>
                <w:rFonts w:hint="eastAsia"/>
              </w:rPr>
              <w:t>开设国家安全教育、创新创业教育、美育以及人文素养教育等选修课的材料，三年制高职专业总学时，选修课学时数占总学时的比例的审核结果文件</w:t>
            </w:r>
          </w:p>
        </w:tc>
        <w:tc>
          <w:tcPr>
            <w:tcW w:w="1305" w:type="dxa"/>
            <w:vAlign w:val="center"/>
          </w:tcPr>
          <w:p w14:paraId="36B684BB">
            <w:pPr>
              <w:adjustRightInd w:val="0"/>
              <w:snapToGrid w:val="0"/>
              <w:ind w:firstLine="0" w:firstLineChars="0"/>
              <w:jc w:val="center"/>
              <w:rPr>
                <w:rFonts w:hint="eastAsia"/>
              </w:rPr>
            </w:pPr>
            <w:r>
              <w:t>证据判断法</w:t>
            </w:r>
          </w:p>
          <w:p w14:paraId="130EC6BD">
            <w:pPr>
              <w:adjustRightInd w:val="0"/>
              <w:snapToGrid w:val="0"/>
              <w:ind w:firstLine="0" w:firstLineChars="0"/>
              <w:jc w:val="center"/>
              <w:rPr>
                <w:rFonts w:hint="eastAsia"/>
              </w:rPr>
            </w:pPr>
            <w:r>
              <w:t>量表法</w:t>
            </w:r>
          </w:p>
          <w:p w14:paraId="38EAFB1B">
            <w:pPr>
              <w:adjustRightInd w:val="0"/>
              <w:snapToGrid w:val="0"/>
              <w:ind w:firstLine="0" w:firstLineChars="0"/>
              <w:jc w:val="center"/>
              <w:rPr>
                <w:rFonts w:hint="eastAsia"/>
              </w:rPr>
            </w:pPr>
            <w:r>
              <w:t>主观赋值法</w:t>
            </w:r>
          </w:p>
        </w:tc>
      </w:tr>
      <w:tr w14:paraId="3A19FB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613D8B2F">
            <w:pPr>
              <w:adjustRightInd w:val="0"/>
              <w:snapToGrid w:val="0"/>
              <w:rPr>
                <w:rFonts w:hint="eastAsia"/>
              </w:rPr>
            </w:pPr>
          </w:p>
        </w:tc>
        <w:tc>
          <w:tcPr>
            <w:tcW w:w="1264" w:type="dxa"/>
            <w:vMerge w:val="continue"/>
            <w:tcMar>
              <w:top w:w="57" w:type="dxa"/>
              <w:bottom w:w="57" w:type="dxa"/>
            </w:tcMar>
            <w:vAlign w:val="center"/>
          </w:tcPr>
          <w:p w14:paraId="11117B25">
            <w:pPr>
              <w:adjustRightInd w:val="0"/>
              <w:snapToGrid w:val="0"/>
              <w:ind w:firstLine="0" w:firstLineChars="0"/>
              <w:jc w:val="center"/>
              <w:rPr>
                <w:rFonts w:hint="eastAsia"/>
              </w:rPr>
            </w:pPr>
          </w:p>
        </w:tc>
        <w:tc>
          <w:tcPr>
            <w:tcW w:w="7698" w:type="dxa"/>
            <w:gridSpan w:val="3"/>
            <w:tcMar>
              <w:top w:w="57" w:type="dxa"/>
              <w:bottom w:w="57" w:type="dxa"/>
            </w:tcMar>
            <w:vAlign w:val="center"/>
          </w:tcPr>
          <w:p w14:paraId="66ADF196">
            <w:pPr>
              <w:adjustRightInd w:val="0"/>
              <w:snapToGrid w:val="0"/>
              <w:rPr>
                <w:rFonts w:hint="eastAsia"/>
              </w:rPr>
            </w:pPr>
            <w:r>
              <w:t>制定依据：与《教育部关于职业院校专业人才培养方案制订与实施工作的指导意见》（职成〔2019〕13号）二（三）条款一致</w:t>
            </w:r>
          </w:p>
        </w:tc>
      </w:tr>
      <w:tr w14:paraId="0535AB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11DA1E08">
            <w:pPr>
              <w:adjustRightInd w:val="0"/>
              <w:snapToGrid w:val="0"/>
              <w:rPr>
                <w:rFonts w:hint="eastAsia"/>
              </w:rPr>
            </w:pPr>
          </w:p>
        </w:tc>
        <w:tc>
          <w:tcPr>
            <w:tcW w:w="1264" w:type="dxa"/>
            <w:vMerge w:val="restart"/>
            <w:tcMar>
              <w:top w:w="57" w:type="dxa"/>
              <w:bottom w:w="57" w:type="dxa"/>
            </w:tcMar>
            <w:vAlign w:val="center"/>
          </w:tcPr>
          <w:p w14:paraId="77BED31F">
            <w:pPr>
              <w:adjustRightInd w:val="0"/>
              <w:snapToGrid w:val="0"/>
              <w:ind w:firstLine="0" w:firstLineChars="0"/>
              <w:jc w:val="center"/>
              <w:rPr>
                <w:rFonts w:hint="eastAsia"/>
              </w:rPr>
            </w:pPr>
            <w:r>
              <w:t>4.2公共基础课程</w:t>
            </w:r>
          </w:p>
        </w:tc>
        <w:tc>
          <w:tcPr>
            <w:tcW w:w="2563" w:type="dxa"/>
            <w:tcMar>
              <w:top w:w="57" w:type="dxa"/>
              <w:bottom w:w="57" w:type="dxa"/>
            </w:tcMar>
            <w:vAlign w:val="center"/>
          </w:tcPr>
          <w:p w14:paraId="6EB651A2">
            <w:pPr>
              <w:adjustRightInd w:val="0"/>
              <w:snapToGrid w:val="0"/>
              <w:rPr>
                <w:rFonts w:hint="eastAsia"/>
              </w:rPr>
            </w:pPr>
            <w:r>
              <w:rPr>
                <w:rFonts w:hint="eastAsia"/>
              </w:rPr>
              <w:t>开足开齐公共基础课程，将思想政治理论、体育、军事理论与军训、心理健康教育、劳动教育等列为公共基础必修课程</w:t>
            </w:r>
          </w:p>
          <w:p w14:paraId="636699FA">
            <w:pPr>
              <w:adjustRightInd w:val="0"/>
              <w:snapToGrid w:val="0"/>
              <w:rPr>
                <w:rFonts w:hint="eastAsia"/>
              </w:rPr>
            </w:pPr>
            <w:r>
              <w:rPr>
                <w:rFonts w:hint="eastAsia"/>
              </w:rPr>
              <w:t>公共基础课学时数不少于专业总学时的25%</w:t>
            </w:r>
          </w:p>
        </w:tc>
        <w:tc>
          <w:tcPr>
            <w:tcW w:w="3830" w:type="dxa"/>
            <w:vAlign w:val="center"/>
          </w:tcPr>
          <w:p w14:paraId="722DFBD6">
            <w:pPr>
              <w:adjustRightInd w:val="0"/>
              <w:snapToGrid w:val="0"/>
              <w:rPr>
                <w:rFonts w:hint="eastAsia"/>
              </w:rPr>
            </w:pPr>
            <w:r>
              <w:rPr>
                <w:rFonts w:hint="eastAsia"/>
              </w:rPr>
              <w:t>开设思想政治理论、体育、军事理论与军训、心理健康教育、劳动教育等公共基础必修课程的审核材料</w:t>
            </w:r>
          </w:p>
          <w:p w14:paraId="69232FC9">
            <w:pPr>
              <w:adjustRightInd w:val="0"/>
              <w:snapToGrid w:val="0"/>
              <w:rPr>
                <w:rFonts w:hint="eastAsia"/>
              </w:rPr>
            </w:pPr>
            <w:r>
              <w:rPr>
                <w:rFonts w:hint="eastAsia"/>
              </w:rPr>
              <w:t>公共基础课学时数占专业总学时之比的统计和审核材料</w:t>
            </w:r>
          </w:p>
        </w:tc>
        <w:tc>
          <w:tcPr>
            <w:tcW w:w="1305" w:type="dxa"/>
            <w:vAlign w:val="center"/>
          </w:tcPr>
          <w:p w14:paraId="05ED135B">
            <w:pPr>
              <w:adjustRightInd w:val="0"/>
              <w:snapToGrid w:val="0"/>
              <w:ind w:firstLine="0" w:firstLineChars="0"/>
              <w:jc w:val="center"/>
              <w:rPr>
                <w:rFonts w:hint="eastAsia"/>
              </w:rPr>
            </w:pPr>
            <w:r>
              <w:t>证据判断法</w:t>
            </w:r>
          </w:p>
          <w:p w14:paraId="730C3BA9">
            <w:pPr>
              <w:adjustRightInd w:val="0"/>
              <w:snapToGrid w:val="0"/>
              <w:ind w:firstLine="0" w:firstLineChars="0"/>
              <w:jc w:val="center"/>
              <w:rPr>
                <w:rFonts w:hint="eastAsia"/>
              </w:rPr>
            </w:pPr>
            <w:r>
              <w:t>量表法</w:t>
            </w:r>
          </w:p>
          <w:p w14:paraId="3759A5AD">
            <w:pPr>
              <w:adjustRightInd w:val="0"/>
              <w:snapToGrid w:val="0"/>
              <w:ind w:firstLine="0" w:firstLineChars="0"/>
              <w:jc w:val="center"/>
              <w:rPr>
                <w:rFonts w:hint="eastAsia"/>
              </w:rPr>
            </w:pPr>
            <w:r>
              <w:t>主观赋值法</w:t>
            </w:r>
          </w:p>
        </w:tc>
      </w:tr>
      <w:tr w14:paraId="7FCE4E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76F78213">
            <w:pPr>
              <w:adjustRightInd w:val="0"/>
              <w:snapToGrid w:val="0"/>
              <w:rPr>
                <w:rFonts w:hint="eastAsia"/>
              </w:rPr>
            </w:pPr>
          </w:p>
        </w:tc>
        <w:tc>
          <w:tcPr>
            <w:tcW w:w="1264" w:type="dxa"/>
            <w:vMerge w:val="continue"/>
            <w:tcMar>
              <w:top w:w="57" w:type="dxa"/>
              <w:bottom w:w="57" w:type="dxa"/>
            </w:tcMar>
            <w:vAlign w:val="center"/>
          </w:tcPr>
          <w:p w14:paraId="10460C37">
            <w:pPr>
              <w:adjustRightInd w:val="0"/>
              <w:snapToGrid w:val="0"/>
              <w:rPr>
                <w:rFonts w:hint="eastAsia"/>
              </w:rPr>
            </w:pPr>
          </w:p>
        </w:tc>
        <w:tc>
          <w:tcPr>
            <w:tcW w:w="7698" w:type="dxa"/>
            <w:gridSpan w:val="3"/>
            <w:tcMar>
              <w:top w:w="57" w:type="dxa"/>
              <w:bottom w:w="57" w:type="dxa"/>
            </w:tcMar>
            <w:vAlign w:val="center"/>
          </w:tcPr>
          <w:p w14:paraId="6A4F5073">
            <w:pPr>
              <w:adjustRightInd w:val="0"/>
              <w:snapToGrid w:val="0"/>
              <w:rPr>
                <w:rFonts w:hint="eastAsia"/>
              </w:rPr>
            </w:pPr>
            <w:r>
              <w:t>制定依据：与《教育部关于职业院校专业人才培养方案制订与实施工作的指导意见》（教职成〔2019〕13号）二（三）条款一致</w:t>
            </w:r>
          </w:p>
        </w:tc>
      </w:tr>
      <w:tr w14:paraId="4D9E9E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28934A5E">
            <w:pPr>
              <w:adjustRightInd w:val="0"/>
              <w:snapToGrid w:val="0"/>
              <w:rPr>
                <w:rFonts w:hint="eastAsia"/>
              </w:rPr>
            </w:pPr>
          </w:p>
        </w:tc>
        <w:tc>
          <w:tcPr>
            <w:tcW w:w="1264" w:type="dxa"/>
            <w:vMerge w:val="restart"/>
            <w:tcMar>
              <w:top w:w="57" w:type="dxa"/>
              <w:bottom w:w="57" w:type="dxa"/>
            </w:tcMar>
            <w:vAlign w:val="center"/>
          </w:tcPr>
          <w:p w14:paraId="3598AF12">
            <w:pPr>
              <w:adjustRightInd w:val="0"/>
              <w:snapToGrid w:val="0"/>
              <w:ind w:firstLine="0" w:firstLineChars="0"/>
              <w:jc w:val="center"/>
              <w:rPr>
                <w:rFonts w:hint="eastAsia"/>
              </w:rPr>
            </w:pPr>
            <w:r>
              <w:t>4.3专业课程</w:t>
            </w:r>
          </w:p>
        </w:tc>
        <w:tc>
          <w:tcPr>
            <w:tcW w:w="2563" w:type="dxa"/>
            <w:tcMar>
              <w:top w:w="57" w:type="dxa"/>
              <w:bottom w:w="57" w:type="dxa"/>
            </w:tcMar>
            <w:vAlign w:val="center"/>
          </w:tcPr>
          <w:p w14:paraId="3D8124D9">
            <w:pPr>
              <w:adjustRightInd w:val="0"/>
              <w:snapToGrid w:val="0"/>
              <w:rPr>
                <w:rFonts w:hint="eastAsia"/>
              </w:rPr>
            </w:pPr>
            <w:r>
              <w:rPr>
                <w:rFonts w:hint="eastAsia"/>
              </w:rPr>
              <w:t>专业有促进校企合作共建课程的机制与措施</w:t>
            </w:r>
          </w:p>
          <w:p w14:paraId="1E6F7479">
            <w:pPr>
              <w:adjustRightInd w:val="0"/>
              <w:snapToGrid w:val="0"/>
              <w:rPr>
                <w:rFonts w:hint="eastAsia"/>
              </w:rPr>
            </w:pPr>
            <w:r>
              <w:rPr>
                <w:rFonts w:hint="eastAsia"/>
              </w:rPr>
              <w:t>专业课程对接毕业生就业岗位（群）能力需求，突出培养学生解决生产现场技术与产品问题的能力</w:t>
            </w:r>
          </w:p>
          <w:p w14:paraId="34D3FF0E">
            <w:pPr>
              <w:adjustRightInd w:val="0"/>
              <w:snapToGrid w:val="0"/>
              <w:rPr>
                <w:rFonts w:hint="eastAsia"/>
              </w:rPr>
            </w:pPr>
            <w:r>
              <w:rPr>
                <w:rFonts w:hint="eastAsia"/>
              </w:rPr>
              <w:t>宜设置6～8门专司专业核心能力培养的专业核心课程</w:t>
            </w:r>
          </w:p>
        </w:tc>
        <w:tc>
          <w:tcPr>
            <w:tcW w:w="3830" w:type="dxa"/>
            <w:vAlign w:val="center"/>
          </w:tcPr>
          <w:p w14:paraId="43EC7F4C">
            <w:pPr>
              <w:adjustRightInd w:val="0"/>
              <w:snapToGrid w:val="0"/>
              <w:rPr>
                <w:rFonts w:hint="eastAsia"/>
              </w:rPr>
            </w:pPr>
            <w:r>
              <w:rPr>
                <w:rFonts w:hint="eastAsia"/>
              </w:rPr>
              <w:t>校企合作共建课程机制与措施的文本汇总材料</w:t>
            </w:r>
          </w:p>
          <w:p w14:paraId="62DC5DD3">
            <w:pPr>
              <w:adjustRightInd w:val="0"/>
              <w:snapToGrid w:val="0"/>
              <w:rPr>
                <w:rFonts w:hint="eastAsia"/>
              </w:rPr>
            </w:pPr>
            <w:r>
              <w:rPr>
                <w:rFonts w:hint="eastAsia"/>
              </w:rPr>
              <w:t>专业课程对接毕业生就业岗位（群）能力需求的文本材料</w:t>
            </w:r>
          </w:p>
          <w:p w14:paraId="3B0851FA">
            <w:pPr>
              <w:adjustRightInd w:val="0"/>
              <w:snapToGrid w:val="0"/>
              <w:rPr>
                <w:rFonts w:hint="eastAsia"/>
              </w:rPr>
            </w:pPr>
            <w:r>
              <w:rPr>
                <w:rFonts w:hint="eastAsia"/>
              </w:rPr>
              <w:t>专业课程中有关解决生产现场技术与产品问题的综合性教学项目、教学安排汇总材料</w:t>
            </w:r>
          </w:p>
          <w:p w14:paraId="493DB3FE">
            <w:pPr>
              <w:adjustRightInd w:val="0"/>
              <w:snapToGrid w:val="0"/>
              <w:rPr>
                <w:rFonts w:hint="eastAsia"/>
              </w:rPr>
            </w:pPr>
            <w:r>
              <w:rPr>
                <w:rFonts w:hint="eastAsia"/>
              </w:rPr>
              <w:t>专业核心课程与学生专业核心能力的关系分析材料、审核材料</w:t>
            </w:r>
          </w:p>
        </w:tc>
        <w:tc>
          <w:tcPr>
            <w:tcW w:w="1305" w:type="dxa"/>
            <w:vAlign w:val="center"/>
          </w:tcPr>
          <w:p w14:paraId="5F2EFEBF">
            <w:pPr>
              <w:adjustRightInd w:val="0"/>
              <w:snapToGrid w:val="0"/>
              <w:ind w:firstLine="0" w:firstLineChars="0"/>
              <w:jc w:val="center"/>
              <w:rPr>
                <w:rFonts w:hint="eastAsia"/>
              </w:rPr>
            </w:pPr>
            <w:r>
              <w:t>证据判断法</w:t>
            </w:r>
          </w:p>
          <w:p w14:paraId="28EFDFAC">
            <w:pPr>
              <w:adjustRightInd w:val="0"/>
              <w:snapToGrid w:val="0"/>
              <w:ind w:firstLine="0" w:firstLineChars="0"/>
              <w:jc w:val="center"/>
              <w:rPr>
                <w:rFonts w:hint="eastAsia"/>
              </w:rPr>
            </w:pPr>
            <w:r>
              <w:t>量表法</w:t>
            </w:r>
          </w:p>
          <w:p w14:paraId="15648DBF">
            <w:pPr>
              <w:adjustRightInd w:val="0"/>
              <w:snapToGrid w:val="0"/>
              <w:ind w:firstLine="0" w:firstLineChars="0"/>
              <w:jc w:val="center"/>
              <w:rPr>
                <w:rFonts w:hint="eastAsia"/>
              </w:rPr>
            </w:pPr>
            <w:r>
              <w:t>主观赋值法</w:t>
            </w:r>
          </w:p>
        </w:tc>
      </w:tr>
      <w:tr w14:paraId="35D6D7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5922EF88">
            <w:pPr>
              <w:adjustRightInd w:val="0"/>
              <w:snapToGrid w:val="0"/>
              <w:rPr>
                <w:rFonts w:hint="eastAsia"/>
              </w:rPr>
            </w:pPr>
          </w:p>
        </w:tc>
        <w:tc>
          <w:tcPr>
            <w:tcW w:w="1264" w:type="dxa"/>
            <w:vMerge w:val="continue"/>
            <w:tcMar>
              <w:top w:w="57" w:type="dxa"/>
              <w:bottom w:w="57" w:type="dxa"/>
            </w:tcMar>
            <w:vAlign w:val="center"/>
          </w:tcPr>
          <w:p w14:paraId="2C4C09D3">
            <w:pPr>
              <w:adjustRightInd w:val="0"/>
              <w:snapToGrid w:val="0"/>
              <w:ind w:firstLine="0" w:firstLineChars="0"/>
              <w:jc w:val="center"/>
              <w:rPr>
                <w:rFonts w:hint="eastAsia"/>
              </w:rPr>
            </w:pPr>
          </w:p>
        </w:tc>
        <w:tc>
          <w:tcPr>
            <w:tcW w:w="7698" w:type="dxa"/>
            <w:gridSpan w:val="3"/>
            <w:tcMar>
              <w:top w:w="57" w:type="dxa"/>
              <w:bottom w:w="57" w:type="dxa"/>
            </w:tcMar>
            <w:vAlign w:val="center"/>
          </w:tcPr>
          <w:p w14:paraId="7C21C02F">
            <w:pPr>
              <w:adjustRightInd w:val="0"/>
              <w:snapToGrid w:val="0"/>
              <w:rPr>
                <w:rFonts w:hint="eastAsia"/>
              </w:rPr>
            </w:pPr>
            <w:r>
              <w:t>制定依据：与《教育部关于职业院校专业人才培养方案制订与实施工作的指导意见》（教职成〔2019〕13号）二（二）2条款一致</w:t>
            </w:r>
          </w:p>
        </w:tc>
      </w:tr>
      <w:tr w14:paraId="71BCAA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0E213F05">
            <w:pPr>
              <w:adjustRightInd w:val="0"/>
              <w:snapToGrid w:val="0"/>
              <w:rPr>
                <w:rFonts w:hint="eastAsia"/>
              </w:rPr>
            </w:pPr>
          </w:p>
        </w:tc>
        <w:tc>
          <w:tcPr>
            <w:tcW w:w="1264" w:type="dxa"/>
            <w:vMerge w:val="restart"/>
            <w:tcMar>
              <w:top w:w="57" w:type="dxa"/>
              <w:bottom w:w="57" w:type="dxa"/>
            </w:tcMar>
            <w:vAlign w:val="center"/>
          </w:tcPr>
          <w:p w14:paraId="2C7B661B">
            <w:pPr>
              <w:adjustRightInd w:val="0"/>
              <w:snapToGrid w:val="0"/>
              <w:ind w:firstLine="0" w:firstLineChars="0"/>
              <w:jc w:val="center"/>
              <w:rPr>
                <w:rFonts w:hint="eastAsia"/>
              </w:rPr>
            </w:pPr>
            <w:r>
              <w:t>4.4实践类课程</w:t>
            </w:r>
          </w:p>
        </w:tc>
        <w:tc>
          <w:tcPr>
            <w:tcW w:w="2563" w:type="dxa"/>
            <w:tcMar>
              <w:top w:w="57" w:type="dxa"/>
              <w:bottom w:w="57" w:type="dxa"/>
            </w:tcMar>
            <w:vAlign w:val="center"/>
          </w:tcPr>
          <w:p w14:paraId="1508D1A2">
            <w:pPr>
              <w:adjustRightInd w:val="0"/>
              <w:snapToGrid w:val="0"/>
              <w:rPr>
                <w:rFonts w:hint="eastAsia"/>
              </w:rPr>
            </w:pPr>
            <w:r>
              <w:rPr>
                <w:rFonts w:hint="eastAsia"/>
              </w:rPr>
              <w:t>能保证学生习得与机械行业紧密相关的基础技能和专项技能</w:t>
            </w:r>
          </w:p>
          <w:p w14:paraId="0E5EF3B2">
            <w:pPr>
              <w:adjustRightInd w:val="0"/>
              <w:snapToGrid w:val="0"/>
              <w:rPr>
                <w:rFonts w:hint="eastAsia"/>
              </w:rPr>
            </w:pPr>
            <w:r>
              <w:rPr>
                <w:rFonts w:hint="eastAsia"/>
              </w:rPr>
              <w:t>实践类课程学时占总学时数50%以上，学生实习时间累计达到6个月</w:t>
            </w:r>
          </w:p>
        </w:tc>
        <w:tc>
          <w:tcPr>
            <w:tcW w:w="3830" w:type="dxa"/>
            <w:vAlign w:val="center"/>
          </w:tcPr>
          <w:p w14:paraId="6BB79DD9">
            <w:pPr>
              <w:adjustRightInd w:val="0"/>
              <w:snapToGrid w:val="0"/>
              <w:rPr>
                <w:rFonts w:hint="eastAsia"/>
              </w:rPr>
            </w:pPr>
            <w:r>
              <w:rPr>
                <w:rFonts w:hint="eastAsia"/>
              </w:rPr>
              <w:t>专业基础技能、专项技能培训项目的承接课程，教学实施和教学保障汇总材料</w:t>
            </w:r>
          </w:p>
          <w:p w14:paraId="7E2F71C8">
            <w:pPr>
              <w:adjustRightInd w:val="0"/>
              <w:snapToGrid w:val="0"/>
              <w:rPr>
                <w:rFonts w:hint="eastAsia"/>
              </w:rPr>
            </w:pPr>
            <w:r>
              <w:rPr>
                <w:rFonts w:hint="eastAsia"/>
              </w:rPr>
              <w:t>学生专业基础技能和专项技能的学习成果汇总材料</w:t>
            </w:r>
          </w:p>
          <w:p w14:paraId="7D2D11D8">
            <w:pPr>
              <w:adjustRightInd w:val="0"/>
              <w:snapToGrid w:val="0"/>
              <w:rPr>
                <w:rFonts w:hint="eastAsia"/>
              </w:rPr>
            </w:pPr>
            <w:r>
              <w:rPr>
                <w:rFonts w:hint="eastAsia"/>
              </w:rPr>
              <w:t>劳动教育和安全教育在实践性课程中的具体内容与学时汇总</w:t>
            </w:r>
          </w:p>
          <w:p w14:paraId="451285FA">
            <w:pPr>
              <w:adjustRightInd w:val="0"/>
              <w:snapToGrid w:val="0"/>
              <w:rPr>
                <w:rFonts w:hint="eastAsia"/>
              </w:rPr>
            </w:pPr>
            <w:r>
              <w:rPr>
                <w:rFonts w:hint="eastAsia"/>
              </w:rPr>
              <w:t>实践性教学学时、学生实习累计时间的统计、审核材料</w:t>
            </w:r>
          </w:p>
        </w:tc>
        <w:tc>
          <w:tcPr>
            <w:tcW w:w="1305" w:type="dxa"/>
            <w:vAlign w:val="center"/>
          </w:tcPr>
          <w:p w14:paraId="72AAA10F">
            <w:pPr>
              <w:adjustRightInd w:val="0"/>
              <w:snapToGrid w:val="0"/>
              <w:ind w:firstLine="0" w:firstLineChars="0"/>
              <w:jc w:val="center"/>
              <w:rPr>
                <w:rFonts w:hint="eastAsia"/>
              </w:rPr>
            </w:pPr>
            <w:r>
              <w:t>证据判断法</w:t>
            </w:r>
          </w:p>
          <w:p w14:paraId="16F1A31B">
            <w:pPr>
              <w:adjustRightInd w:val="0"/>
              <w:snapToGrid w:val="0"/>
              <w:ind w:firstLine="0" w:firstLineChars="0"/>
              <w:jc w:val="center"/>
              <w:rPr>
                <w:rFonts w:hint="eastAsia"/>
              </w:rPr>
            </w:pPr>
            <w:r>
              <w:t>量表法</w:t>
            </w:r>
          </w:p>
          <w:p w14:paraId="4F0AF097">
            <w:pPr>
              <w:adjustRightInd w:val="0"/>
              <w:snapToGrid w:val="0"/>
              <w:ind w:firstLine="0" w:firstLineChars="0"/>
              <w:jc w:val="center"/>
              <w:rPr>
                <w:rFonts w:hint="eastAsia"/>
              </w:rPr>
            </w:pPr>
            <w:r>
              <w:t>主观赋值法</w:t>
            </w:r>
          </w:p>
        </w:tc>
      </w:tr>
      <w:tr w14:paraId="75EAFF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6DD3617F">
            <w:pPr>
              <w:adjustRightInd w:val="0"/>
              <w:snapToGrid w:val="0"/>
              <w:rPr>
                <w:rFonts w:hint="eastAsia"/>
              </w:rPr>
            </w:pPr>
          </w:p>
        </w:tc>
        <w:tc>
          <w:tcPr>
            <w:tcW w:w="1264" w:type="dxa"/>
            <w:vMerge w:val="continue"/>
            <w:tcMar>
              <w:top w:w="57" w:type="dxa"/>
              <w:bottom w:w="57" w:type="dxa"/>
            </w:tcMar>
            <w:vAlign w:val="center"/>
          </w:tcPr>
          <w:p w14:paraId="615043B0">
            <w:pPr>
              <w:adjustRightInd w:val="0"/>
              <w:snapToGrid w:val="0"/>
              <w:ind w:firstLine="0" w:firstLineChars="0"/>
              <w:jc w:val="center"/>
              <w:rPr>
                <w:rFonts w:hint="eastAsia"/>
              </w:rPr>
            </w:pPr>
          </w:p>
        </w:tc>
        <w:tc>
          <w:tcPr>
            <w:tcW w:w="7698" w:type="dxa"/>
            <w:gridSpan w:val="3"/>
            <w:tcMar>
              <w:top w:w="57" w:type="dxa"/>
              <w:bottom w:w="57" w:type="dxa"/>
            </w:tcMar>
            <w:vAlign w:val="center"/>
          </w:tcPr>
          <w:p w14:paraId="5F41AF32">
            <w:pPr>
              <w:adjustRightInd w:val="0"/>
              <w:snapToGrid w:val="0"/>
              <w:rPr>
                <w:rFonts w:hint="eastAsia"/>
              </w:rPr>
            </w:pPr>
            <w:r>
              <w:t>制定依据：与《教育部关于职业院校专业人才培养方案制订与实施工作的指导意见》（教职成〔2019〕13号）二（四）条款一致</w:t>
            </w:r>
          </w:p>
        </w:tc>
      </w:tr>
      <w:tr w14:paraId="5F3C3E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restart"/>
            <w:tcMar>
              <w:top w:w="57" w:type="dxa"/>
              <w:bottom w:w="57" w:type="dxa"/>
            </w:tcMar>
            <w:vAlign w:val="center"/>
          </w:tcPr>
          <w:p w14:paraId="535713BA">
            <w:pPr>
              <w:adjustRightInd w:val="0"/>
              <w:snapToGrid w:val="0"/>
              <w:ind w:firstLine="0" w:firstLineChars="0"/>
              <w:jc w:val="center"/>
              <w:rPr>
                <w:rFonts w:hint="eastAsia"/>
              </w:rPr>
            </w:pPr>
            <w:r>
              <w:t>5教学实施</w:t>
            </w:r>
          </w:p>
        </w:tc>
        <w:tc>
          <w:tcPr>
            <w:tcW w:w="1264" w:type="dxa"/>
            <w:vMerge w:val="restart"/>
            <w:tcMar>
              <w:top w:w="57" w:type="dxa"/>
              <w:bottom w:w="57" w:type="dxa"/>
            </w:tcMar>
            <w:vAlign w:val="center"/>
          </w:tcPr>
          <w:p w14:paraId="4E9CB9E2">
            <w:pPr>
              <w:adjustRightInd w:val="0"/>
              <w:snapToGrid w:val="0"/>
              <w:ind w:firstLine="0" w:firstLineChars="0"/>
              <w:jc w:val="center"/>
              <w:rPr>
                <w:rFonts w:hint="eastAsia"/>
              </w:rPr>
            </w:pPr>
            <w:r>
              <w:t>5.1教学管理制度</w:t>
            </w:r>
          </w:p>
        </w:tc>
        <w:tc>
          <w:tcPr>
            <w:tcW w:w="2563" w:type="dxa"/>
            <w:tcMar>
              <w:top w:w="57" w:type="dxa"/>
              <w:bottom w:w="57" w:type="dxa"/>
            </w:tcMar>
            <w:vAlign w:val="center"/>
          </w:tcPr>
          <w:p w14:paraId="6D9401D8">
            <w:pPr>
              <w:pStyle w:val="30"/>
              <w:snapToGrid w:val="0"/>
              <w:spacing w:line="240" w:lineRule="auto"/>
              <w:rPr>
                <w:b w:val="0"/>
                <w:bCs/>
              </w:rPr>
            </w:pPr>
            <w:r>
              <w:rPr>
                <w:rFonts w:hint="eastAsia"/>
                <w:b w:val="0"/>
                <w:bCs/>
              </w:rPr>
              <w:t>有覆盖教学实施全过程的、规范系统的教学管理制度，制度有效执行</w:t>
            </w:r>
          </w:p>
          <w:p w14:paraId="6217A724">
            <w:pPr>
              <w:pStyle w:val="12"/>
              <w:snapToGrid w:val="0"/>
              <w:spacing w:after="0"/>
              <w:rPr>
                <w:rFonts w:hint="eastAsia"/>
                <w:bCs/>
              </w:rPr>
            </w:pPr>
            <w:r>
              <w:rPr>
                <w:rFonts w:hint="eastAsia"/>
                <w:bCs/>
              </w:rPr>
              <w:t>教材管理及学生实习符合国家相关要求</w:t>
            </w:r>
          </w:p>
        </w:tc>
        <w:tc>
          <w:tcPr>
            <w:tcW w:w="3830" w:type="dxa"/>
            <w:vAlign w:val="center"/>
          </w:tcPr>
          <w:p w14:paraId="4073EAAB">
            <w:pPr>
              <w:pStyle w:val="30"/>
              <w:snapToGrid w:val="0"/>
              <w:spacing w:line="240" w:lineRule="auto"/>
              <w:rPr>
                <w:b w:val="0"/>
                <w:bCs/>
              </w:rPr>
            </w:pPr>
            <w:r>
              <w:rPr>
                <w:rFonts w:hint="eastAsia"/>
                <w:b w:val="0"/>
                <w:bCs/>
              </w:rPr>
              <w:t>教学</w:t>
            </w:r>
            <w:r>
              <w:rPr>
                <w:b w:val="0"/>
                <w:bCs/>
              </w:rPr>
              <w:t>管理</w:t>
            </w:r>
            <w:r>
              <w:rPr>
                <w:rFonts w:hint="eastAsia"/>
                <w:b w:val="0"/>
                <w:bCs/>
              </w:rPr>
              <w:t>制度及执行情况记录，含课堂教学规范、</w:t>
            </w:r>
            <w:r>
              <w:rPr>
                <w:b w:val="0"/>
                <w:bCs/>
              </w:rPr>
              <w:t>教学质量监控与督导</w:t>
            </w:r>
            <w:r>
              <w:rPr>
                <w:rFonts w:hint="eastAsia"/>
                <w:b w:val="0"/>
                <w:bCs/>
              </w:rPr>
              <w:t>、</w:t>
            </w:r>
            <w:r>
              <w:rPr>
                <w:b w:val="0"/>
                <w:bCs/>
              </w:rPr>
              <w:t>校企协同教学管理</w:t>
            </w:r>
            <w:r>
              <w:rPr>
                <w:rFonts w:hint="eastAsia"/>
                <w:b w:val="0"/>
                <w:bCs/>
              </w:rPr>
              <w:t>、</w:t>
            </w:r>
            <w:r>
              <w:rPr>
                <w:b w:val="0"/>
                <w:bCs/>
              </w:rPr>
              <w:t>信息化教学支持</w:t>
            </w:r>
            <w:r>
              <w:rPr>
                <w:rFonts w:hint="eastAsia"/>
                <w:b w:val="0"/>
                <w:bCs/>
              </w:rPr>
              <w:t>、课程考核管理等制度及执行情况汇总材料</w:t>
            </w:r>
          </w:p>
          <w:p w14:paraId="39FE6CC0">
            <w:pPr>
              <w:pStyle w:val="30"/>
              <w:snapToGrid w:val="0"/>
              <w:spacing w:line="240" w:lineRule="auto"/>
              <w:rPr>
                <w:b w:val="0"/>
                <w:bCs/>
              </w:rPr>
            </w:pPr>
            <w:r>
              <w:rPr>
                <w:rFonts w:hint="eastAsia"/>
                <w:b w:val="0"/>
                <w:bCs/>
              </w:rPr>
              <w:t>教材管理制度、学生实习管理制度及执行情况记录</w:t>
            </w:r>
          </w:p>
        </w:tc>
        <w:tc>
          <w:tcPr>
            <w:tcW w:w="1305" w:type="dxa"/>
            <w:vAlign w:val="center"/>
          </w:tcPr>
          <w:p w14:paraId="709ED84A">
            <w:pPr>
              <w:adjustRightInd w:val="0"/>
              <w:snapToGrid w:val="0"/>
              <w:ind w:firstLine="0" w:firstLineChars="0"/>
              <w:jc w:val="center"/>
              <w:rPr>
                <w:rFonts w:hint="eastAsia"/>
              </w:rPr>
            </w:pPr>
            <w:r>
              <w:t>证据判断法</w:t>
            </w:r>
          </w:p>
          <w:p w14:paraId="18DC8738">
            <w:pPr>
              <w:adjustRightInd w:val="0"/>
              <w:snapToGrid w:val="0"/>
              <w:ind w:firstLine="0" w:firstLineChars="0"/>
              <w:jc w:val="center"/>
              <w:rPr>
                <w:rFonts w:hint="eastAsia"/>
              </w:rPr>
            </w:pPr>
            <w:r>
              <w:t>主观赋值法</w:t>
            </w:r>
          </w:p>
        </w:tc>
      </w:tr>
      <w:tr w14:paraId="0CE4D1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2532745F">
            <w:pPr>
              <w:adjustRightInd w:val="0"/>
              <w:snapToGrid w:val="0"/>
              <w:rPr>
                <w:rFonts w:hint="eastAsia"/>
              </w:rPr>
            </w:pPr>
          </w:p>
        </w:tc>
        <w:tc>
          <w:tcPr>
            <w:tcW w:w="1264" w:type="dxa"/>
            <w:vMerge w:val="continue"/>
            <w:tcMar>
              <w:top w:w="57" w:type="dxa"/>
              <w:bottom w:w="57" w:type="dxa"/>
            </w:tcMar>
            <w:vAlign w:val="center"/>
          </w:tcPr>
          <w:p w14:paraId="1BA72586">
            <w:pPr>
              <w:adjustRightInd w:val="0"/>
              <w:snapToGrid w:val="0"/>
              <w:ind w:firstLine="0" w:firstLineChars="0"/>
              <w:jc w:val="center"/>
              <w:rPr>
                <w:rFonts w:hint="eastAsia"/>
              </w:rPr>
            </w:pPr>
          </w:p>
        </w:tc>
        <w:tc>
          <w:tcPr>
            <w:tcW w:w="7698" w:type="dxa"/>
            <w:gridSpan w:val="3"/>
            <w:tcMar>
              <w:top w:w="57" w:type="dxa"/>
              <w:bottom w:w="57" w:type="dxa"/>
            </w:tcMar>
            <w:vAlign w:val="center"/>
          </w:tcPr>
          <w:p w14:paraId="76574451">
            <w:pPr>
              <w:adjustRightInd w:val="0"/>
              <w:snapToGrid w:val="0"/>
              <w:rPr>
                <w:rFonts w:hint="eastAsia"/>
              </w:rPr>
            </w:pPr>
            <w:r>
              <w:t>制定依据：与《教育部等九部门《职业教育提质培优行动计划（2020-2023年）》（教职成〔2020〕7号）》（六）17条款符合</w:t>
            </w:r>
          </w:p>
        </w:tc>
      </w:tr>
      <w:tr w14:paraId="255AAD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41569710">
            <w:pPr>
              <w:adjustRightInd w:val="0"/>
              <w:snapToGrid w:val="0"/>
              <w:rPr>
                <w:rFonts w:hint="eastAsia"/>
              </w:rPr>
            </w:pPr>
          </w:p>
        </w:tc>
        <w:tc>
          <w:tcPr>
            <w:tcW w:w="1264" w:type="dxa"/>
            <w:vMerge w:val="restart"/>
            <w:tcMar>
              <w:top w:w="57" w:type="dxa"/>
              <w:bottom w:w="57" w:type="dxa"/>
            </w:tcMar>
            <w:vAlign w:val="center"/>
          </w:tcPr>
          <w:p w14:paraId="31EE2777">
            <w:pPr>
              <w:adjustRightInd w:val="0"/>
              <w:snapToGrid w:val="0"/>
              <w:ind w:firstLine="0" w:firstLineChars="0"/>
              <w:jc w:val="center"/>
              <w:rPr>
                <w:rFonts w:hint="eastAsia"/>
              </w:rPr>
            </w:pPr>
            <w:r>
              <w:t>5.2课程教学目标与内容</w:t>
            </w:r>
          </w:p>
        </w:tc>
        <w:tc>
          <w:tcPr>
            <w:tcW w:w="2563" w:type="dxa"/>
            <w:tcMar>
              <w:top w:w="57" w:type="dxa"/>
              <w:bottom w:w="57" w:type="dxa"/>
            </w:tcMar>
            <w:vAlign w:val="center"/>
          </w:tcPr>
          <w:p w14:paraId="186CD43A">
            <w:pPr>
              <w:adjustRightInd w:val="0"/>
              <w:snapToGrid w:val="0"/>
              <w:rPr>
                <w:rFonts w:hint="eastAsia"/>
              </w:rPr>
            </w:pPr>
            <w:r>
              <w:rPr>
                <w:rFonts w:hint="eastAsia"/>
              </w:rPr>
              <w:t>课程教学体现正确的政治方向和价值导向</w:t>
            </w:r>
          </w:p>
        </w:tc>
        <w:tc>
          <w:tcPr>
            <w:tcW w:w="3830" w:type="dxa"/>
            <w:vAlign w:val="center"/>
          </w:tcPr>
          <w:p w14:paraId="2216804D">
            <w:pPr>
              <w:adjustRightInd w:val="0"/>
              <w:snapToGrid w:val="0"/>
              <w:rPr>
                <w:rFonts w:hint="eastAsia"/>
              </w:rPr>
            </w:pPr>
            <w:r>
              <w:rPr>
                <w:rFonts w:hint="eastAsia"/>
              </w:rPr>
              <w:t>课程思政的审核与落实汇总材料</w:t>
            </w:r>
          </w:p>
        </w:tc>
        <w:tc>
          <w:tcPr>
            <w:tcW w:w="1305" w:type="dxa"/>
            <w:vAlign w:val="center"/>
          </w:tcPr>
          <w:p w14:paraId="5444CB89">
            <w:pPr>
              <w:adjustRightInd w:val="0"/>
              <w:snapToGrid w:val="0"/>
              <w:ind w:firstLine="0" w:firstLineChars="0"/>
              <w:jc w:val="center"/>
              <w:rPr>
                <w:rFonts w:hint="eastAsia"/>
              </w:rPr>
            </w:pPr>
            <w:r>
              <w:t>证据判断法</w:t>
            </w:r>
          </w:p>
          <w:p w14:paraId="6E411E22">
            <w:pPr>
              <w:adjustRightInd w:val="0"/>
              <w:snapToGrid w:val="0"/>
              <w:ind w:firstLine="0" w:firstLineChars="0"/>
              <w:jc w:val="center"/>
              <w:rPr>
                <w:rFonts w:hint="eastAsia"/>
              </w:rPr>
            </w:pPr>
            <w:r>
              <w:t>量表法</w:t>
            </w:r>
          </w:p>
          <w:p w14:paraId="532DF69C">
            <w:pPr>
              <w:adjustRightInd w:val="0"/>
              <w:snapToGrid w:val="0"/>
              <w:ind w:firstLine="0" w:firstLineChars="0"/>
              <w:jc w:val="center"/>
              <w:rPr>
                <w:rFonts w:hint="eastAsia"/>
              </w:rPr>
            </w:pPr>
            <w:r>
              <w:t>主观赋值法</w:t>
            </w:r>
          </w:p>
        </w:tc>
      </w:tr>
      <w:tr w14:paraId="44AE09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22AD47D4">
            <w:pPr>
              <w:adjustRightInd w:val="0"/>
              <w:snapToGrid w:val="0"/>
              <w:rPr>
                <w:rFonts w:hint="eastAsia"/>
              </w:rPr>
            </w:pPr>
          </w:p>
        </w:tc>
        <w:tc>
          <w:tcPr>
            <w:tcW w:w="1264" w:type="dxa"/>
            <w:vMerge w:val="continue"/>
            <w:tcMar>
              <w:top w:w="57" w:type="dxa"/>
              <w:bottom w:w="57" w:type="dxa"/>
            </w:tcMar>
            <w:vAlign w:val="center"/>
          </w:tcPr>
          <w:p w14:paraId="6CA958C5">
            <w:pPr>
              <w:adjustRightInd w:val="0"/>
              <w:snapToGrid w:val="0"/>
              <w:rPr>
                <w:rFonts w:hint="eastAsia"/>
              </w:rPr>
            </w:pPr>
          </w:p>
        </w:tc>
        <w:tc>
          <w:tcPr>
            <w:tcW w:w="7698" w:type="dxa"/>
            <w:gridSpan w:val="3"/>
            <w:tcMar>
              <w:top w:w="57" w:type="dxa"/>
              <w:bottom w:w="57" w:type="dxa"/>
            </w:tcMar>
            <w:vAlign w:val="center"/>
          </w:tcPr>
          <w:p w14:paraId="37BF65B8">
            <w:pPr>
              <w:adjustRightInd w:val="0"/>
              <w:snapToGrid w:val="0"/>
              <w:rPr>
                <w:rFonts w:hint="eastAsia"/>
              </w:rPr>
            </w:pPr>
            <w:r>
              <w:t>制定依据：与《高等学校课程思政建设指导纲要》（2020年）三条款一致</w:t>
            </w:r>
          </w:p>
        </w:tc>
      </w:tr>
      <w:tr w14:paraId="6EED6D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63BEB663">
            <w:pPr>
              <w:adjustRightInd w:val="0"/>
              <w:snapToGrid w:val="0"/>
              <w:rPr>
                <w:rFonts w:hint="eastAsia"/>
              </w:rPr>
            </w:pPr>
          </w:p>
        </w:tc>
        <w:tc>
          <w:tcPr>
            <w:tcW w:w="1264" w:type="dxa"/>
            <w:vMerge w:val="continue"/>
            <w:tcMar>
              <w:top w:w="57" w:type="dxa"/>
              <w:bottom w:w="57" w:type="dxa"/>
            </w:tcMar>
            <w:vAlign w:val="center"/>
          </w:tcPr>
          <w:p w14:paraId="2667DB25">
            <w:pPr>
              <w:adjustRightInd w:val="0"/>
              <w:snapToGrid w:val="0"/>
              <w:rPr>
                <w:rFonts w:hint="eastAsia"/>
              </w:rPr>
            </w:pPr>
          </w:p>
        </w:tc>
        <w:tc>
          <w:tcPr>
            <w:tcW w:w="2563" w:type="dxa"/>
            <w:tcMar>
              <w:top w:w="57" w:type="dxa"/>
              <w:bottom w:w="57" w:type="dxa"/>
            </w:tcMar>
            <w:vAlign w:val="center"/>
          </w:tcPr>
          <w:p w14:paraId="794ED27C">
            <w:pPr>
              <w:adjustRightInd w:val="0"/>
              <w:snapToGrid w:val="0"/>
              <w:rPr>
                <w:rFonts w:hint="eastAsia"/>
              </w:rPr>
            </w:pPr>
            <w:r>
              <w:rPr>
                <w:rFonts w:hint="eastAsia"/>
              </w:rPr>
              <w:t>课程教学目标明确、公开、可测、可达，并对接毕业要求</w:t>
            </w:r>
          </w:p>
        </w:tc>
        <w:tc>
          <w:tcPr>
            <w:tcW w:w="3830" w:type="dxa"/>
            <w:vAlign w:val="center"/>
          </w:tcPr>
          <w:p w14:paraId="5FEDDA27">
            <w:pPr>
              <w:adjustRightInd w:val="0"/>
              <w:snapToGrid w:val="0"/>
              <w:rPr>
                <w:rFonts w:hint="eastAsia"/>
              </w:rPr>
            </w:pPr>
            <w:r>
              <w:rPr>
                <w:rFonts w:hint="eastAsia"/>
              </w:rPr>
              <w:t>课程教学目标、教学内容与本课程承接毕业要求的一致性审核材料</w:t>
            </w:r>
          </w:p>
        </w:tc>
        <w:tc>
          <w:tcPr>
            <w:tcW w:w="1305" w:type="dxa"/>
            <w:vAlign w:val="center"/>
          </w:tcPr>
          <w:p w14:paraId="42D6F4CB">
            <w:pPr>
              <w:adjustRightInd w:val="0"/>
              <w:snapToGrid w:val="0"/>
              <w:ind w:firstLine="0" w:firstLineChars="0"/>
              <w:jc w:val="center"/>
              <w:rPr>
                <w:rFonts w:hint="eastAsia"/>
              </w:rPr>
            </w:pPr>
            <w:r>
              <w:t>证据判断法</w:t>
            </w:r>
          </w:p>
          <w:p w14:paraId="4B79D56E">
            <w:pPr>
              <w:adjustRightInd w:val="0"/>
              <w:snapToGrid w:val="0"/>
              <w:ind w:firstLine="0" w:firstLineChars="0"/>
              <w:jc w:val="center"/>
              <w:rPr>
                <w:rFonts w:hint="eastAsia"/>
              </w:rPr>
            </w:pPr>
            <w:r>
              <w:t>量表法</w:t>
            </w:r>
          </w:p>
          <w:p w14:paraId="1BFDB3F5">
            <w:pPr>
              <w:adjustRightInd w:val="0"/>
              <w:snapToGrid w:val="0"/>
              <w:ind w:firstLine="0" w:firstLineChars="0"/>
              <w:jc w:val="center"/>
              <w:rPr>
                <w:rFonts w:hint="eastAsia"/>
              </w:rPr>
            </w:pPr>
            <w:r>
              <w:t>主观赋值法</w:t>
            </w:r>
          </w:p>
        </w:tc>
      </w:tr>
      <w:tr w14:paraId="14EB38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257DB4FD">
            <w:pPr>
              <w:adjustRightInd w:val="0"/>
              <w:snapToGrid w:val="0"/>
              <w:rPr>
                <w:rFonts w:hint="eastAsia"/>
              </w:rPr>
            </w:pPr>
          </w:p>
        </w:tc>
        <w:tc>
          <w:tcPr>
            <w:tcW w:w="1264" w:type="dxa"/>
            <w:vMerge w:val="continue"/>
            <w:tcMar>
              <w:top w:w="57" w:type="dxa"/>
              <w:bottom w:w="57" w:type="dxa"/>
            </w:tcMar>
            <w:vAlign w:val="center"/>
          </w:tcPr>
          <w:p w14:paraId="62950DF9">
            <w:pPr>
              <w:adjustRightInd w:val="0"/>
              <w:snapToGrid w:val="0"/>
              <w:rPr>
                <w:rFonts w:hint="eastAsia"/>
              </w:rPr>
            </w:pPr>
          </w:p>
        </w:tc>
        <w:tc>
          <w:tcPr>
            <w:tcW w:w="7698" w:type="dxa"/>
            <w:gridSpan w:val="3"/>
            <w:tcMar>
              <w:top w:w="57" w:type="dxa"/>
              <w:bottom w:w="57" w:type="dxa"/>
            </w:tcMar>
            <w:vAlign w:val="center"/>
          </w:tcPr>
          <w:p w14:paraId="0B45EEEA">
            <w:pPr>
              <w:adjustRightInd w:val="0"/>
              <w:snapToGrid w:val="0"/>
              <w:rPr>
                <w:rFonts w:hint="eastAsia"/>
              </w:rPr>
            </w:pPr>
            <w:r>
              <w:t>制定依据：与教育部关于职业院校专业人才培养方案制订与实施工作的指导意见》（教职成〔2019〕13号）二（五）、六（一）条款一致</w:t>
            </w:r>
          </w:p>
        </w:tc>
      </w:tr>
      <w:tr w14:paraId="0D8C3E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1ED93C9A">
            <w:pPr>
              <w:adjustRightInd w:val="0"/>
              <w:snapToGrid w:val="0"/>
              <w:rPr>
                <w:rFonts w:hint="eastAsia"/>
              </w:rPr>
            </w:pPr>
          </w:p>
        </w:tc>
        <w:tc>
          <w:tcPr>
            <w:tcW w:w="1264" w:type="dxa"/>
            <w:vMerge w:val="continue"/>
            <w:tcMar>
              <w:top w:w="57" w:type="dxa"/>
              <w:bottom w:w="57" w:type="dxa"/>
            </w:tcMar>
            <w:vAlign w:val="center"/>
          </w:tcPr>
          <w:p w14:paraId="0EF69B84">
            <w:pPr>
              <w:adjustRightInd w:val="0"/>
              <w:snapToGrid w:val="0"/>
              <w:rPr>
                <w:rFonts w:hint="eastAsia"/>
              </w:rPr>
            </w:pPr>
          </w:p>
        </w:tc>
        <w:tc>
          <w:tcPr>
            <w:tcW w:w="2563" w:type="dxa"/>
            <w:tcMar>
              <w:top w:w="57" w:type="dxa"/>
              <w:bottom w:w="57" w:type="dxa"/>
            </w:tcMar>
            <w:vAlign w:val="center"/>
          </w:tcPr>
          <w:p w14:paraId="25B8D9F1">
            <w:pPr>
              <w:adjustRightInd w:val="0"/>
              <w:snapToGrid w:val="0"/>
              <w:rPr>
                <w:rFonts w:hint="eastAsia"/>
              </w:rPr>
            </w:pPr>
            <w:r>
              <w:rPr>
                <w:rFonts w:hint="eastAsia"/>
              </w:rPr>
              <w:t>课程教学内容聚焦教学目标，体现科学性、先进性、职业性、适宜性</w:t>
            </w:r>
          </w:p>
        </w:tc>
        <w:tc>
          <w:tcPr>
            <w:tcW w:w="3830" w:type="dxa"/>
            <w:vAlign w:val="center"/>
          </w:tcPr>
          <w:p w14:paraId="3F8DB4DD">
            <w:pPr>
              <w:adjustRightInd w:val="0"/>
              <w:snapToGrid w:val="0"/>
              <w:rPr>
                <w:rFonts w:hint="eastAsia"/>
              </w:rPr>
            </w:pPr>
            <w:r>
              <w:rPr>
                <w:rFonts w:hint="eastAsia"/>
              </w:rPr>
              <w:t>课程教学目标的确立依据、教学内容的组织逻辑分析材料，新技术、新装备、新工艺、新材料等企业项目或案例纳入课程的材料</w:t>
            </w:r>
          </w:p>
        </w:tc>
        <w:tc>
          <w:tcPr>
            <w:tcW w:w="1305" w:type="dxa"/>
            <w:vAlign w:val="center"/>
          </w:tcPr>
          <w:p w14:paraId="3A60529C">
            <w:pPr>
              <w:adjustRightInd w:val="0"/>
              <w:snapToGrid w:val="0"/>
              <w:ind w:firstLine="0" w:firstLineChars="0"/>
              <w:jc w:val="center"/>
              <w:rPr>
                <w:rFonts w:hint="eastAsia"/>
              </w:rPr>
            </w:pPr>
            <w:r>
              <w:t>证据判断法</w:t>
            </w:r>
          </w:p>
          <w:p w14:paraId="1C4DF9B9">
            <w:pPr>
              <w:adjustRightInd w:val="0"/>
              <w:snapToGrid w:val="0"/>
              <w:ind w:firstLine="0" w:firstLineChars="0"/>
              <w:jc w:val="center"/>
              <w:rPr>
                <w:rFonts w:hint="eastAsia"/>
              </w:rPr>
            </w:pPr>
            <w:r>
              <w:t>量表法</w:t>
            </w:r>
          </w:p>
          <w:p w14:paraId="7671F9E2">
            <w:pPr>
              <w:adjustRightInd w:val="0"/>
              <w:snapToGrid w:val="0"/>
              <w:ind w:firstLine="0" w:firstLineChars="0"/>
              <w:jc w:val="center"/>
              <w:rPr>
                <w:rFonts w:hint="eastAsia"/>
              </w:rPr>
            </w:pPr>
            <w:r>
              <w:t>主观赋值法</w:t>
            </w:r>
          </w:p>
        </w:tc>
      </w:tr>
      <w:tr w14:paraId="56CB23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58458D09">
            <w:pPr>
              <w:adjustRightInd w:val="0"/>
              <w:snapToGrid w:val="0"/>
              <w:rPr>
                <w:rFonts w:hint="eastAsia"/>
              </w:rPr>
            </w:pPr>
          </w:p>
        </w:tc>
        <w:tc>
          <w:tcPr>
            <w:tcW w:w="1264" w:type="dxa"/>
            <w:vMerge w:val="continue"/>
            <w:tcMar>
              <w:top w:w="57" w:type="dxa"/>
              <w:bottom w:w="57" w:type="dxa"/>
            </w:tcMar>
            <w:vAlign w:val="center"/>
          </w:tcPr>
          <w:p w14:paraId="7F406D61">
            <w:pPr>
              <w:adjustRightInd w:val="0"/>
              <w:snapToGrid w:val="0"/>
              <w:rPr>
                <w:rFonts w:hint="eastAsia"/>
              </w:rPr>
            </w:pPr>
          </w:p>
        </w:tc>
        <w:tc>
          <w:tcPr>
            <w:tcW w:w="7698" w:type="dxa"/>
            <w:gridSpan w:val="3"/>
            <w:tcMar>
              <w:top w:w="57" w:type="dxa"/>
              <w:bottom w:w="57" w:type="dxa"/>
            </w:tcMar>
            <w:vAlign w:val="center"/>
          </w:tcPr>
          <w:p w14:paraId="65B11DA5">
            <w:pPr>
              <w:adjustRightInd w:val="0"/>
              <w:snapToGrid w:val="0"/>
              <w:rPr>
                <w:rFonts w:hint="eastAsia"/>
              </w:rPr>
            </w:pPr>
            <w:r>
              <w:t>制定依据：与中共中央办公厅 国务院办公厅《关于推动现代职业教育高质量发展的意见》（2021年，国务院）五（十五）条款一致</w:t>
            </w:r>
          </w:p>
        </w:tc>
      </w:tr>
      <w:tr w14:paraId="355FA4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4A0D6B77">
            <w:pPr>
              <w:adjustRightInd w:val="0"/>
              <w:snapToGrid w:val="0"/>
              <w:rPr>
                <w:rFonts w:hint="eastAsia"/>
              </w:rPr>
            </w:pPr>
          </w:p>
        </w:tc>
        <w:tc>
          <w:tcPr>
            <w:tcW w:w="1264" w:type="dxa"/>
            <w:vMerge w:val="restart"/>
            <w:tcMar>
              <w:top w:w="57" w:type="dxa"/>
              <w:bottom w:w="57" w:type="dxa"/>
            </w:tcMar>
            <w:vAlign w:val="center"/>
          </w:tcPr>
          <w:p w14:paraId="7FE08CB8">
            <w:pPr>
              <w:adjustRightInd w:val="0"/>
              <w:snapToGrid w:val="0"/>
              <w:ind w:firstLine="0" w:firstLineChars="0"/>
              <w:jc w:val="center"/>
              <w:rPr>
                <w:rFonts w:hint="eastAsia"/>
              </w:rPr>
            </w:pPr>
            <w:r>
              <w:t>5.3课堂教学</w:t>
            </w:r>
          </w:p>
        </w:tc>
        <w:tc>
          <w:tcPr>
            <w:tcW w:w="2563" w:type="dxa"/>
            <w:tcMar>
              <w:top w:w="57" w:type="dxa"/>
              <w:bottom w:w="57" w:type="dxa"/>
            </w:tcMar>
            <w:vAlign w:val="center"/>
          </w:tcPr>
          <w:p w14:paraId="64835C89">
            <w:pPr>
              <w:adjustRightInd w:val="0"/>
              <w:snapToGrid w:val="0"/>
              <w:rPr>
                <w:rFonts w:hint="eastAsia"/>
              </w:rPr>
            </w:pPr>
            <w:r>
              <w:rPr>
                <w:rFonts w:hint="eastAsia"/>
              </w:rPr>
              <w:t>根据学生的学习现状、资源条件和具体的教学内容，采取适宜的教学策略、方式和手段，提升学生课堂学习专注度，动态掌控课堂教学目标的达成</w:t>
            </w:r>
          </w:p>
        </w:tc>
        <w:tc>
          <w:tcPr>
            <w:tcW w:w="3830" w:type="dxa"/>
            <w:vAlign w:val="center"/>
          </w:tcPr>
          <w:p w14:paraId="1E81F0FA">
            <w:pPr>
              <w:adjustRightInd w:val="0"/>
              <w:snapToGrid w:val="0"/>
              <w:rPr>
                <w:rFonts w:hint="eastAsia"/>
              </w:rPr>
            </w:pPr>
            <w:r>
              <w:rPr>
                <w:rFonts w:hint="eastAsia"/>
              </w:rPr>
              <w:t>近三年教师课堂教学记录、教学反思材料，课堂教学管理与督导反馈材料，发现的教学难题以及解决方案，解决或缓解教学难题的汇总材料</w:t>
            </w:r>
          </w:p>
          <w:p w14:paraId="7A066E4C">
            <w:pPr>
              <w:adjustRightInd w:val="0"/>
              <w:snapToGrid w:val="0"/>
              <w:rPr>
                <w:rFonts w:hint="eastAsia"/>
              </w:rPr>
            </w:pPr>
            <w:r>
              <w:rPr>
                <w:rFonts w:hint="eastAsia"/>
              </w:rPr>
              <w:t>课程的教学辅导记录，针对学有困难学生的个性化指导记录等汇总材料</w:t>
            </w:r>
          </w:p>
        </w:tc>
        <w:tc>
          <w:tcPr>
            <w:tcW w:w="1305" w:type="dxa"/>
            <w:vAlign w:val="center"/>
          </w:tcPr>
          <w:p w14:paraId="63C264C0">
            <w:pPr>
              <w:adjustRightInd w:val="0"/>
              <w:snapToGrid w:val="0"/>
              <w:ind w:firstLine="0" w:firstLineChars="0"/>
              <w:jc w:val="center"/>
              <w:rPr>
                <w:rFonts w:hint="eastAsia"/>
              </w:rPr>
            </w:pPr>
            <w:r>
              <w:t>试验/测量法</w:t>
            </w:r>
          </w:p>
          <w:p w14:paraId="339FFF6E">
            <w:pPr>
              <w:adjustRightInd w:val="0"/>
              <w:snapToGrid w:val="0"/>
              <w:ind w:firstLine="0" w:firstLineChars="0"/>
              <w:jc w:val="center"/>
              <w:rPr>
                <w:rFonts w:hint="eastAsia"/>
              </w:rPr>
            </w:pPr>
            <w:r>
              <w:t>证据判断法</w:t>
            </w:r>
          </w:p>
          <w:p w14:paraId="1C16E519">
            <w:pPr>
              <w:adjustRightInd w:val="0"/>
              <w:snapToGrid w:val="0"/>
              <w:ind w:firstLine="0" w:firstLineChars="0"/>
              <w:jc w:val="center"/>
              <w:rPr>
                <w:rFonts w:hint="eastAsia"/>
              </w:rPr>
            </w:pPr>
            <w:r>
              <w:t>主观赋值法</w:t>
            </w:r>
          </w:p>
        </w:tc>
      </w:tr>
      <w:tr w14:paraId="049E1A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1297596">
            <w:pPr>
              <w:adjustRightInd w:val="0"/>
              <w:snapToGrid w:val="0"/>
              <w:rPr>
                <w:rFonts w:hint="eastAsia"/>
              </w:rPr>
            </w:pPr>
          </w:p>
        </w:tc>
        <w:tc>
          <w:tcPr>
            <w:tcW w:w="1264" w:type="dxa"/>
            <w:vMerge w:val="continue"/>
            <w:tcMar>
              <w:top w:w="57" w:type="dxa"/>
              <w:bottom w:w="57" w:type="dxa"/>
            </w:tcMar>
            <w:vAlign w:val="center"/>
          </w:tcPr>
          <w:p w14:paraId="1E90DA47">
            <w:pPr>
              <w:adjustRightInd w:val="0"/>
              <w:snapToGrid w:val="0"/>
              <w:rPr>
                <w:rFonts w:hint="eastAsia"/>
              </w:rPr>
            </w:pPr>
          </w:p>
        </w:tc>
        <w:tc>
          <w:tcPr>
            <w:tcW w:w="7698" w:type="dxa"/>
            <w:gridSpan w:val="3"/>
            <w:tcMar>
              <w:top w:w="57" w:type="dxa"/>
              <w:bottom w:w="57" w:type="dxa"/>
            </w:tcMar>
            <w:vAlign w:val="center"/>
          </w:tcPr>
          <w:p w14:paraId="3612A704">
            <w:pPr>
              <w:adjustRightInd w:val="0"/>
              <w:snapToGrid w:val="0"/>
              <w:rPr>
                <w:rFonts w:hint="eastAsia"/>
              </w:rPr>
            </w:pPr>
            <w:r>
              <w:t>制定依据：与中共中央办公厅 国务院办公厅《关于推动现代职业教育高质量发展的意见》（2021年，国务院）五（十四）条款一致</w:t>
            </w:r>
          </w:p>
        </w:tc>
      </w:tr>
      <w:tr w14:paraId="693F6C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40677BA5">
            <w:pPr>
              <w:adjustRightInd w:val="0"/>
              <w:snapToGrid w:val="0"/>
              <w:rPr>
                <w:rFonts w:hint="eastAsia"/>
              </w:rPr>
            </w:pPr>
          </w:p>
        </w:tc>
        <w:tc>
          <w:tcPr>
            <w:tcW w:w="1264" w:type="dxa"/>
            <w:vMerge w:val="restart"/>
            <w:tcMar>
              <w:top w:w="57" w:type="dxa"/>
              <w:bottom w:w="57" w:type="dxa"/>
            </w:tcMar>
            <w:vAlign w:val="center"/>
          </w:tcPr>
          <w:p w14:paraId="5CFF3272">
            <w:pPr>
              <w:adjustRightInd w:val="0"/>
              <w:snapToGrid w:val="0"/>
              <w:ind w:firstLine="0" w:firstLineChars="0"/>
              <w:jc w:val="center"/>
              <w:rPr>
                <w:rFonts w:hint="eastAsia"/>
              </w:rPr>
            </w:pPr>
            <w:r>
              <w:t>5.4课程考核</w:t>
            </w:r>
          </w:p>
        </w:tc>
        <w:tc>
          <w:tcPr>
            <w:tcW w:w="2563" w:type="dxa"/>
            <w:tcMar>
              <w:top w:w="57" w:type="dxa"/>
              <w:bottom w:w="57" w:type="dxa"/>
            </w:tcMar>
            <w:vAlign w:val="center"/>
          </w:tcPr>
          <w:p w14:paraId="453F2085">
            <w:pPr>
              <w:adjustRightInd w:val="0"/>
              <w:snapToGrid w:val="0"/>
              <w:rPr>
                <w:rFonts w:hint="eastAsia"/>
              </w:rPr>
            </w:pPr>
            <w:r>
              <w:rPr>
                <w:rFonts w:hint="eastAsia"/>
              </w:rPr>
              <w:t>课程考核项目与课程教学目标一致，体现过程性评价与结果性评价相结合</w:t>
            </w:r>
          </w:p>
        </w:tc>
        <w:tc>
          <w:tcPr>
            <w:tcW w:w="3830" w:type="dxa"/>
            <w:vAlign w:val="center"/>
          </w:tcPr>
          <w:p w14:paraId="21CF77BE">
            <w:pPr>
              <w:adjustRightInd w:val="0"/>
              <w:snapToGrid w:val="0"/>
              <w:rPr>
                <w:rFonts w:hint="eastAsia"/>
              </w:rPr>
            </w:pPr>
            <w:r>
              <w:rPr>
                <w:rFonts w:hint="eastAsia"/>
              </w:rPr>
              <w:t>课程考核项目与课程教学目标一致性审核材料，过程性评价与结果性评价的比例分配审核材料</w:t>
            </w:r>
          </w:p>
          <w:p w14:paraId="2F317D4E">
            <w:pPr>
              <w:adjustRightInd w:val="0"/>
              <w:snapToGrid w:val="0"/>
              <w:rPr>
                <w:rFonts w:hint="eastAsia"/>
              </w:rPr>
            </w:pPr>
            <w:r>
              <w:rPr>
                <w:rFonts w:hint="eastAsia"/>
              </w:rPr>
              <w:t>近三年课程考核的原始材料</w:t>
            </w:r>
          </w:p>
        </w:tc>
        <w:tc>
          <w:tcPr>
            <w:tcW w:w="1305" w:type="dxa"/>
            <w:vAlign w:val="center"/>
          </w:tcPr>
          <w:p w14:paraId="18A0E58A">
            <w:pPr>
              <w:adjustRightInd w:val="0"/>
              <w:snapToGrid w:val="0"/>
              <w:ind w:firstLine="0" w:firstLineChars="0"/>
              <w:jc w:val="center"/>
              <w:rPr>
                <w:rFonts w:hint="eastAsia"/>
              </w:rPr>
            </w:pPr>
            <w:r>
              <w:t>统计数据法</w:t>
            </w:r>
          </w:p>
          <w:p w14:paraId="6F92AE8E">
            <w:pPr>
              <w:adjustRightInd w:val="0"/>
              <w:snapToGrid w:val="0"/>
              <w:ind w:firstLine="0" w:firstLineChars="0"/>
              <w:jc w:val="center"/>
              <w:rPr>
                <w:rFonts w:hint="eastAsia"/>
              </w:rPr>
            </w:pPr>
            <w:r>
              <w:t>证据判断法</w:t>
            </w:r>
          </w:p>
        </w:tc>
      </w:tr>
      <w:tr w14:paraId="0E0C0B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41231EA7">
            <w:pPr>
              <w:adjustRightInd w:val="0"/>
              <w:snapToGrid w:val="0"/>
              <w:rPr>
                <w:rFonts w:hint="eastAsia"/>
              </w:rPr>
            </w:pPr>
          </w:p>
        </w:tc>
        <w:tc>
          <w:tcPr>
            <w:tcW w:w="1264" w:type="dxa"/>
            <w:vMerge w:val="continue"/>
            <w:tcMar>
              <w:top w:w="57" w:type="dxa"/>
              <w:bottom w:w="57" w:type="dxa"/>
            </w:tcMar>
            <w:vAlign w:val="center"/>
          </w:tcPr>
          <w:p w14:paraId="7B5BB425">
            <w:pPr>
              <w:adjustRightInd w:val="0"/>
              <w:snapToGrid w:val="0"/>
              <w:ind w:firstLine="0" w:firstLineChars="0"/>
              <w:jc w:val="center"/>
              <w:rPr>
                <w:rFonts w:hint="eastAsia"/>
              </w:rPr>
            </w:pPr>
          </w:p>
        </w:tc>
        <w:tc>
          <w:tcPr>
            <w:tcW w:w="7698" w:type="dxa"/>
            <w:gridSpan w:val="3"/>
            <w:tcMar>
              <w:top w:w="57" w:type="dxa"/>
              <w:bottom w:w="57" w:type="dxa"/>
            </w:tcMar>
            <w:vAlign w:val="center"/>
          </w:tcPr>
          <w:p w14:paraId="081AFA96">
            <w:pPr>
              <w:adjustRightInd w:val="0"/>
              <w:snapToGrid w:val="0"/>
              <w:rPr>
                <w:rFonts w:hint="eastAsia"/>
              </w:rPr>
            </w:pPr>
            <w:r>
              <w:t>制定依据：与中共中央 国务院印发《关于深化新时代教育评价改革总体方案》（2020年）四（19）条款一致</w:t>
            </w:r>
          </w:p>
        </w:tc>
      </w:tr>
      <w:tr w14:paraId="433745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7F2DCA54">
            <w:pPr>
              <w:adjustRightInd w:val="0"/>
              <w:snapToGrid w:val="0"/>
              <w:rPr>
                <w:rFonts w:hint="eastAsia"/>
              </w:rPr>
            </w:pPr>
          </w:p>
        </w:tc>
        <w:tc>
          <w:tcPr>
            <w:tcW w:w="1264" w:type="dxa"/>
            <w:vMerge w:val="continue"/>
            <w:tcMar>
              <w:top w:w="57" w:type="dxa"/>
              <w:bottom w:w="57" w:type="dxa"/>
            </w:tcMar>
            <w:vAlign w:val="center"/>
          </w:tcPr>
          <w:p w14:paraId="1AB7F952">
            <w:pPr>
              <w:adjustRightInd w:val="0"/>
              <w:snapToGrid w:val="0"/>
              <w:ind w:firstLine="0" w:firstLineChars="0"/>
              <w:jc w:val="center"/>
              <w:rPr>
                <w:rFonts w:hint="eastAsia"/>
              </w:rPr>
            </w:pPr>
          </w:p>
        </w:tc>
        <w:tc>
          <w:tcPr>
            <w:tcW w:w="2563" w:type="dxa"/>
            <w:tcMar>
              <w:top w:w="57" w:type="dxa"/>
              <w:bottom w:w="57" w:type="dxa"/>
            </w:tcMar>
            <w:vAlign w:val="center"/>
          </w:tcPr>
          <w:p w14:paraId="1EE47B8F">
            <w:pPr>
              <w:adjustRightInd w:val="0"/>
              <w:snapToGrid w:val="0"/>
              <w:rPr>
                <w:rFonts w:hint="eastAsia"/>
              </w:rPr>
            </w:pPr>
            <w:r>
              <w:rPr>
                <w:rFonts w:hint="eastAsia"/>
              </w:rPr>
              <w:t>单门课程成绩合格率宜在75%~95%之间</w:t>
            </w:r>
          </w:p>
        </w:tc>
        <w:tc>
          <w:tcPr>
            <w:tcW w:w="3830" w:type="dxa"/>
            <w:vAlign w:val="center"/>
          </w:tcPr>
          <w:p w14:paraId="3E64DC57">
            <w:pPr>
              <w:adjustRightInd w:val="0"/>
              <w:snapToGrid w:val="0"/>
              <w:rPr>
                <w:rFonts w:hint="eastAsia"/>
              </w:rPr>
            </w:pPr>
            <w:r>
              <w:rPr>
                <w:rFonts w:hint="eastAsia"/>
              </w:rPr>
              <w:t>近三年各课程的合格率、课程教学目标达成情况分析材料</w:t>
            </w:r>
          </w:p>
        </w:tc>
        <w:tc>
          <w:tcPr>
            <w:tcW w:w="1305" w:type="dxa"/>
            <w:vAlign w:val="center"/>
          </w:tcPr>
          <w:p w14:paraId="3E65C2B5">
            <w:pPr>
              <w:adjustRightInd w:val="0"/>
              <w:snapToGrid w:val="0"/>
              <w:ind w:firstLine="0" w:firstLineChars="0"/>
              <w:jc w:val="center"/>
              <w:rPr>
                <w:rFonts w:hint="eastAsia"/>
              </w:rPr>
            </w:pPr>
            <w:r>
              <w:t>统计数据法</w:t>
            </w:r>
          </w:p>
          <w:p w14:paraId="60EB7012">
            <w:pPr>
              <w:adjustRightInd w:val="0"/>
              <w:snapToGrid w:val="0"/>
              <w:ind w:firstLine="0" w:firstLineChars="0"/>
              <w:jc w:val="center"/>
              <w:rPr>
                <w:rFonts w:hint="eastAsia"/>
              </w:rPr>
            </w:pPr>
            <w:r>
              <w:t>证据判断法</w:t>
            </w:r>
          </w:p>
        </w:tc>
      </w:tr>
      <w:tr w14:paraId="05E58A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A84165B">
            <w:pPr>
              <w:adjustRightInd w:val="0"/>
              <w:snapToGrid w:val="0"/>
              <w:rPr>
                <w:rFonts w:hint="eastAsia"/>
              </w:rPr>
            </w:pPr>
          </w:p>
        </w:tc>
        <w:tc>
          <w:tcPr>
            <w:tcW w:w="1264" w:type="dxa"/>
            <w:vMerge w:val="continue"/>
            <w:tcMar>
              <w:top w:w="57" w:type="dxa"/>
              <w:bottom w:w="57" w:type="dxa"/>
            </w:tcMar>
            <w:vAlign w:val="center"/>
          </w:tcPr>
          <w:p w14:paraId="785A8409">
            <w:pPr>
              <w:adjustRightInd w:val="0"/>
              <w:snapToGrid w:val="0"/>
              <w:ind w:firstLine="0" w:firstLineChars="0"/>
              <w:jc w:val="center"/>
              <w:rPr>
                <w:rFonts w:hint="eastAsia"/>
              </w:rPr>
            </w:pPr>
          </w:p>
        </w:tc>
        <w:tc>
          <w:tcPr>
            <w:tcW w:w="7698" w:type="dxa"/>
            <w:gridSpan w:val="3"/>
            <w:tcMar>
              <w:top w:w="57" w:type="dxa"/>
              <w:bottom w:w="57" w:type="dxa"/>
            </w:tcMar>
            <w:vAlign w:val="center"/>
          </w:tcPr>
          <w:p w14:paraId="43884B73">
            <w:pPr>
              <w:adjustRightInd w:val="0"/>
              <w:snapToGrid w:val="0"/>
              <w:rPr>
                <w:rFonts w:hint="eastAsia"/>
              </w:rPr>
            </w:pPr>
            <w:r>
              <w:t>制定依据：与中共中央 国务院印发《关于深化新时代教育评价改革总体方案》（2020年）四（19）条款要求一致。根据教学质量控制规律，课程成绩合格率70%</w:t>
            </w:r>
            <w:r>
              <w:rPr>
                <w:rFonts w:ascii="Times New Roman" w:hAnsi="Times New Roman"/>
              </w:rPr>
              <w:t>~</w:t>
            </w:r>
            <w:r>
              <w:t>90%是基于机械行业机械设计制造、工程材料技术、机电设备、自动化等高职专业类别的调研结论</w:t>
            </w:r>
          </w:p>
          <w:p w14:paraId="5EC3501E">
            <w:pPr>
              <w:adjustRightInd w:val="0"/>
              <w:snapToGrid w:val="0"/>
              <w:rPr>
                <w:rFonts w:hint="eastAsia"/>
              </w:rPr>
            </w:pPr>
            <w:r>
              <w:t>单门课程成绩合格率=（参加课程考核且成绩合格学生数/参加课程考核学生总数）%</w:t>
            </w:r>
          </w:p>
        </w:tc>
      </w:tr>
      <w:tr w14:paraId="6C6658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restart"/>
            <w:tcMar>
              <w:top w:w="57" w:type="dxa"/>
              <w:bottom w:w="57" w:type="dxa"/>
            </w:tcMar>
            <w:vAlign w:val="center"/>
          </w:tcPr>
          <w:p w14:paraId="520BD17D">
            <w:pPr>
              <w:adjustRightInd w:val="0"/>
              <w:snapToGrid w:val="0"/>
              <w:ind w:firstLine="0" w:firstLineChars="0"/>
              <w:jc w:val="center"/>
              <w:rPr>
                <w:rFonts w:hint="eastAsia"/>
              </w:rPr>
            </w:pPr>
            <w:r>
              <w:t>6持续改进</w:t>
            </w:r>
          </w:p>
        </w:tc>
        <w:tc>
          <w:tcPr>
            <w:tcW w:w="1264" w:type="dxa"/>
            <w:vMerge w:val="restart"/>
            <w:tcMar>
              <w:top w:w="57" w:type="dxa"/>
              <w:bottom w:w="57" w:type="dxa"/>
            </w:tcMar>
            <w:vAlign w:val="center"/>
          </w:tcPr>
          <w:p w14:paraId="2A708686">
            <w:pPr>
              <w:adjustRightInd w:val="0"/>
              <w:snapToGrid w:val="0"/>
              <w:ind w:firstLine="0" w:firstLineChars="0"/>
              <w:jc w:val="center"/>
              <w:rPr>
                <w:rFonts w:hint="eastAsia"/>
              </w:rPr>
            </w:pPr>
            <w:r>
              <w:rPr>
                <w:rFonts w:hint="eastAsia"/>
              </w:rPr>
              <w:t>6.1内部质量监控机制</w:t>
            </w:r>
          </w:p>
        </w:tc>
        <w:tc>
          <w:tcPr>
            <w:tcW w:w="2563" w:type="dxa"/>
            <w:tcMar>
              <w:top w:w="57" w:type="dxa"/>
              <w:bottom w:w="57" w:type="dxa"/>
            </w:tcMar>
            <w:vAlign w:val="center"/>
          </w:tcPr>
          <w:p w14:paraId="39E57B8D">
            <w:pPr>
              <w:pStyle w:val="30"/>
              <w:snapToGrid w:val="0"/>
              <w:spacing w:line="240" w:lineRule="auto"/>
              <w:rPr>
                <w:b w:val="0"/>
                <w:bCs/>
              </w:rPr>
            </w:pPr>
            <w:r>
              <w:rPr>
                <w:rFonts w:hint="eastAsia"/>
                <w:b w:val="0"/>
                <w:bCs/>
              </w:rPr>
              <w:t>明确各主要教学环节的质量要求，建立常态化质量监控机制</w:t>
            </w:r>
          </w:p>
        </w:tc>
        <w:tc>
          <w:tcPr>
            <w:tcW w:w="3830" w:type="dxa"/>
            <w:vAlign w:val="center"/>
          </w:tcPr>
          <w:p w14:paraId="33C1A4E5">
            <w:pPr>
              <w:pStyle w:val="30"/>
              <w:snapToGrid w:val="0"/>
              <w:spacing w:line="240" w:lineRule="auto"/>
              <w:rPr>
                <w:b w:val="0"/>
                <w:bCs/>
              </w:rPr>
            </w:pPr>
            <w:r>
              <w:rPr>
                <w:rFonts w:hint="eastAsia"/>
                <w:b w:val="0"/>
                <w:bCs/>
              </w:rPr>
              <w:t>包括专业人才培养的“方案设计</w:t>
            </w:r>
            <w:r>
              <w:rPr>
                <w:b w:val="0"/>
                <w:bCs/>
              </w:rPr>
              <w:t>、</w:t>
            </w:r>
            <w:r>
              <w:rPr>
                <w:rFonts w:hint="eastAsia"/>
                <w:b w:val="0"/>
                <w:bCs/>
              </w:rPr>
              <w:t>实施过程、评价改进”在内的质量监控制度汇总文本，制度执行记录</w:t>
            </w:r>
          </w:p>
        </w:tc>
        <w:tc>
          <w:tcPr>
            <w:tcW w:w="1305" w:type="dxa"/>
            <w:vAlign w:val="center"/>
          </w:tcPr>
          <w:p w14:paraId="26DFA269">
            <w:pPr>
              <w:adjustRightInd w:val="0"/>
              <w:snapToGrid w:val="0"/>
              <w:ind w:firstLine="0" w:firstLineChars="0"/>
              <w:jc w:val="center"/>
              <w:rPr>
                <w:rFonts w:hint="eastAsia"/>
              </w:rPr>
            </w:pPr>
            <w:r>
              <w:t>证据判断法</w:t>
            </w:r>
          </w:p>
        </w:tc>
      </w:tr>
      <w:tr w14:paraId="6FE843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2D706FEC">
            <w:pPr>
              <w:adjustRightInd w:val="0"/>
              <w:snapToGrid w:val="0"/>
              <w:ind w:firstLine="0" w:firstLineChars="0"/>
              <w:jc w:val="center"/>
              <w:rPr>
                <w:rFonts w:hint="eastAsia"/>
              </w:rPr>
            </w:pPr>
          </w:p>
        </w:tc>
        <w:tc>
          <w:tcPr>
            <w:tcW w:w="1264" w:type="dxa"/>
            <w:vMerge w:val="continue"/>
            <w:tcMar>
              <w:top w:w="57" w:type="dxa"/>
              <w:bottom w:w="57" w:type="dxa"/>
            </w:tcMar>
            <w:vAlign w:val="center"/>
          </w:tcPr>
          <w:p w14:paraId="4D828960">
            <w:pPr>
              <w:adjustRightInd w:val="0"/>
              <w:snapToGrid w:val="0"/>
              <w:ind w:firstLine="0" w:firstLineChars="0"/>
              <w:jc w:val="center"/>
              <w:rPr>
                <w:rFonts w:hint="eastAsia"/>
              </w:rPr>
            </w:pPr>
          </w:p>
        </w:tc>
        <w:tc>
          <w:tcPr>
            <w:tcW w:w="7698" w:type="dxa"/>
            <w:gridSpan w:val="3"/>
            <w:tcMar>
              <w:top w:w="57" w:type="dxa"/>
              <w:bottom w:w="57" w:type="dxa"/>
            </w:tcMar>
            <w:vAlign w:val="center"/>
          </w:tcPr>
          <w:p w14:paraId="23DCFD25">
            <w:pPr>
              <w:adjustRightInd w:val="0"/>
              <w:snapToGrid w:val="0"/>
              <w:rPr>
                <w:rFonts w:hint="eastAsia"/>
              </w:rPr>
            </w:pPr>
            <w:r>
              <w:t>制定依据：与《中华人民共和国职业教育法》（2022年修订）第四十三条款相符合</w:t>
            </w:r>
          </w:p>
        </w:tc>
      </w:tr>
      <w:tr w14:paraId="7D166A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C60C53A">
            <w:pPr>
              <w:adjustRightInd w:val="0"/>
              <w:snapToGrid w:val="0"/>
              <w:ind w:firstLine="0" w:firstLineChars="0"/>
              <w:jc w:val="center"/>
              <w:rPr>
                <w:rFonts w:hint="eastAsia"/>
              </w:rPr>
            </w:pPr>
          </w:p>
        </w:tc>
        <w:tc>
          <w:tcPr>
            <w:tcW w:w="1264" w:type="dxa"/>
            <w:vMerge w:val="restart"/>
            <w:tcMar>
              <w:top w:w="57" w:type="dxa"/>
              <w:bottom w:w="57" w:type="dxa"/>
            </w:tcMar>
            <w:vAlign w:val="center"/>
          </w:tcPr>
          <w:p w14:paraId="677B1FCE">
            <w:pPr>
              <w:adjustRightInd w:val="0"/>
              <w:snapToGrid w:val="0"/>
              <w:ind w:firstLine="0" w:firstLineChars="0"/>
              <w:jc w:val="center"/>
              <w:rPr>
                <w:rFonts w:hint="eastAsia"/>
              </w:rPr>
            </w:pPr>
            <w:r>
              <w:t>6.2毕业生随访与社会评价机制</w:t>
            </w:r>
          </w:p>
        </w:tc>
        <w:tc>
          <w:tcPr>
            <w:tcW w:w="2563" w:type="dxa"/>
            <w:tcMar>
              <w:top w:w="57" w:type="dxa"/>
              <w:bottom w:w="57" w:type="dxa"/>
            </w:tcMar>
            <w:vAlign w:val="center"/>
          </w:tcPr>
          <w:p w14:paraId="79800497">
            <w:pPr>
              <w:adjustRightInd w:val="0"/>
              <w:snapToGrid w:val="0"/>
              <w:rPr>
                <w:rFonts w:hint="eastAsia"/>
              </w:rPr>
            </w:pPr>
            <w:r>
              <w:rPr>
                <w:rFonts w:hint="eastAsia"/>
              </w:rPr>
              <w:t>建立毕业生随访反馈机制、用人单位评价反馈机制</w:t>
            </w:r>
          </w:p>
        </w:tc>
        <w:tc>
          <w:tcPr>
            <w:tcW w:w="3830" w:type="dxa"/>
            <w:vAlign w:val="center"/>
          </w:tcPr>
          <w:p w14:paraId="3F3CFE21">
            <w:pPr>
              <w:adjustRightInd w:val="0"/>
              <w:snapToGrid w:val="0"/>
              <w:rPr>
                <w:rFonts w:hint="eastAsia"/>
              </w:rPr>
            </w:pPr>
            <w:r>
              <w:rPr>
                <w:rFonts w:hint="eastAsia"/>
              </w:rPr>
              <w:t>毕业生随访反馈、毕业生用人单位评价与反馈制度汇总文本，制度执行记录</w:t>
            </w:r>
          </w:p>
        </w:tc>
        <w:tc>
          <w:tcPr>
            <w:tcW w:w="1305" w:type="dxa"/>
            <w:vAlign w:val="center"/>
          </w:tcPr>
          <w:p w14:paraId="21EE19C6">
            <w:pPr>
              <w:adjustRightInd w:val="0"/>
              <w:snapToGrid w:val="0"/>
              <w:ind w:firstLine="0" w:firstLineChars="0"/>
              <w:jc w:val="center"/>
              <w:rPr>
                <w:rFonts w:hint="eastAsia"/>
              </w:rPr>
            </w:pPr>
            <w:r>
              <w:t>统计数据法</w:t>
            </w:r>
          </w:p>
          <w:p w14:paraId="465F75FB">
            <w:pPr>
              <w:adjustRightInd w:val="0"/>
              <w:snapToGrid w:val="0"/>
              <w:ind w:firstLine="0" w:firstLineChars="0"/>
              <w:jc w:val="center"/>
              <w:rPr>
                <w:rFonts w:hint="eastAsia"/>
              </w:rPr>
            </w:pPr>
            <w:r>
              <w:t>证据判断法</w:t>
            </w:r>
          </w:p>
          <w:p w14:paraId="573DE8BC">
            <w:pPr>
              <w:adjustRightInd w:val="0"/>
              <w:snapToGrid w:val="0"/>
              <w:ind w:firstLine="0" w:firstLineChars="0"/>
              <w:jc w:val="center"/>
              <w:rPr>
                <w:rFonts w:hint="eastAsia"/>
              </w:rPr>
            </w:pPr>
            <w:r>
              <w:t>量表法</w:t>
            </w:r>
          </w:p>
        </w:tc>
      </w:tr>
      <w:tr w14:paraId="7ABC13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5FF655E3">
            <w:pPr>
              <w:adjustRightInd w:val="0"/>
              <w:snapToGrid w:val="0"/>
              <w:ind w:firstLine="0" w:firstLineChars="0"/>
              <w:jc w:val="center"/>
              <w:rPr>
                <w:rFonts w:hint="eastAsia"/>
              </w:rPr>
            </w:pPr>
          </w:p>
        </w:tc>
        <w:tc>
          <w:tcPr>
            <w:tcW w:w="1264" w:type="dxa"/>
            <w:vMerge w:val="continue"/>
            <w:tcMar>
              <w:top w:w="57" w:type="dxa"/>
              <w:bottom w:w="57" w:type="dxa"/>
            </w:tcMar>
            <w:vAlign w:val="center"/>
          </w:tcPr>
          <w:p w14:paraId="0849DA6E">
            <w:pPr>
              <w:adjustRightInd w:val="0"/>
              <w:snapToGrid w:val="0"/>
              <w:ind w:firstLine="0" w:firstLineChars="0"/>
              <w:jc w:val="center"/>
              <w:rPr>
                <w:rFonts w:hint="eastAsia"/>
              </w:rPr>
            </w:pPr>
          </w:p>
        </w:tc>
        <w:tc>
          <w:tcPr>
            <w:tcW w:w="7698" w:type="dxa"/>
            <w:gridSpan w:val="3"/>
            <w:tcMar>
              <w:top w:w="57" w:type="dxa"/>
              <w:bottom w:w="57" w:type="dxa"/>
            </w:tcMar>
            <w:vAlign w:val="center"/>
          </w:tcPr>
          <w:p w14:paraId="144D7632">
            <w:pPr>
              <w:adjustRightInd w:val="0"/>
              <w:snapToGrid w:val="0"/>
              <w:rPr>
                <w:rFonts w:hint="eastAsia"/>
              </w:rPr>
            </w:pPr>
            <w:r>
              <w:t>制定依据：与《深化新时代教育评价改革总体方案》（2020年，中共中央、国务院）二（二）7条款符合</w:t>
            </w:r>
          </w:p>
        </w:tc>
      </w:tr>
      <w:tr w14:paraId="0F0C3A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1C465187">
            <w:pPr>
              <w:adjustRightInd w:val="0"/>
              <w:snapToGrid w:val="0"/>
              <w:ind w:firstLine="0" w:firstLineChars="0"/>
              <w:jc w:val="center"/>
              <w:rPr>
                <w:rFonts w:hint="eastAsia"/>
              </w:rPr>
            </w:pPr>
          </w:p>
        </w:tc>
        <w:tc>
          <w:tcPr>
            <w:tcW w:w="1264" w:type="dxa"/>
            <w:vMerge w:val="continue"/>
            <w:tcMar>
              <w:top w:w="57" w:type="dxa"/>
              <w:bottom w:w="57" w:type="dxa"/>
            </w:tcMar>
            <w:vAlign w:val="center"/>
          </w:tcPr>
          <w:p w14:paraId="50B26B1A">
            <w:pPr>
              <w:adjustRightInd w:val="0"/>
              <w:snapToGrid w:val="0"/>
              <w:ind w:firstLine="0" w:firstLineChars="0"/>
              <w:jc w:val="center"/>
              <w:rPr>
                <w:rFonts w:hint="eastAsia"/>
              </w:rPr>
            </w:pPr>
          </w:p>
        </w:tc>
        <w:tc>
          <w:tcPr>
            <w:tcW w:w="2563" w:type="dxa"/>
            <w:tcMar>
              <w:top w:w="57" w:type="dxa"/>
              <w:bottom w:w="57" w:type="dxa"/>
            </w:tcMar>
            <w:vAlign w:val="center"/>
          </w:tcPr>
          <w:p w14:paraId="67C3B416">
            <w:pPr>
              <w:adjustRightInd w:val="0"/>
              <w:snapToGrid w:val="0"/>
              <w:rPr>
                <w:rFonts w:hint="eastAsia"/>
              </w:rPr>
            </w:pPr>
            <w:r>
              <w:rPr>
                <w:rFonts w:hint="eastAsia"/>
              </w:rPr>
              <w:t>每年对专业培养目标达成情况进行外部评价</w:t>
            </w:r>
          </w:p>
        </w:tc>
        <w:tc>
          <w:tcPr>
            <w:tcW w:w="3830" w:type="dxa"/>
            <w:vAlign w:val="center"/>
          </w:tcPr>
          <w:p w14:paraId="59E0A28E">
            <w:pPr>
              <w:adjustRightInd w:val="0"/>
              <w:snapToGrid w:val="0"/>
              <w:rPr>
                <w:rFonts w:hint="eastAsia"/>
              </w:rPr>
            </w:pPr>
            <w:r>
              <w:rPr>
                <w:rFonts w:hint="eastAsia"/>
              </w:rPr>
              <w:t>近三年专业毕业生基本信息和就业状况汇总表</w:t>
            </w:r>
          </w:p>
          <w:p w14:paraId="19C91760">
            <w:pPr>
              <w:adjustRightInd w:val="0"/>
              <w:snapToGrid w:val="0"/>
              <w:rPr>
                <w:rFonts w:hint="eastAsia"/>
              </w:rPr>
            </w:pPr>
            <w:r>
              <w:rPr>
                <w:rFonts w:hint="eastAsia"/>
              </w:rPr>
              <w:t>近三年毕业生、用人单位对专业培养目标达成情况的反馈分析报告</w:t>
            </w:r>
          </w:p>
        </w:tc>
        <w:tc>
          <w:tcPr>
            <w:tcW w:w="1305" w:type="dxa"/>
            <w:vAlign w:val="center"/>
          </w:tcPr>
          <w:p w14:paraId="52928608">
            <w:pPr>
              <w:adjustRightInd w:val="0"/>
              <w:snapToGrid w:val="0"/>
              <w:ind w:firstLine="0" w:firstLineChars="0"/>
              <w:jc w:val="center"/>
              <w:rPr>
                <w:rFonts w:hint="eastAsia"/>
              </w:rPr>
            </w:pPr>
            <w:r>
              <w:t>统计数据法</w:t>
            </w:r>
          </w:p>
          <w:p w14:paraId="5A2CB7AC">
            <w:pPr>
              <w:adjustRightInd w:val="0"/>
              <w:snapToGrid w:val="0"/>
              <w:ind w:firstLine="0" w:firstLineChars="0"/>
              <w:jc w:val="center"/>
              <w:rPr>
                <w:rFonts w:hint="eastAsia"/>
              </w:rPr>
            </w:pPr>
            <w:r>
              <w:t>证据判断法</w:t>
            </w:r>
          </w:p>
          <w:p w14:paraId="008F285D">
            <w:pPr>
              <w:adjustRightInd w:val="0"/>
              <w:snapToGrid w:val="0"/>
              <w:ind w:firstLine="0" w:firstLineChars="0"/>
              <w:jc w:val="center"/>
              <w:rPr>
                <w:rFonts w:hint="eastAsia"/>
              </w:rPr>
            </w:pPr>
            <w:r>
              <w:t>量表法</w:t>
            </w:r>
          </w:p>
        </w:tc>
      </w:tr>
      <w:tr w14:paraId="740BBC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63264104">
            <w:pPr>
              <w:adjustRightInd w:val="0"/>
              <w:snapToGrid w:val="0"/>
              <w:ind w:firstLine="0" w:firstLineChars="0"/>
              <w:jc w:val="center"/>
              <w:rPr>
                <w:rFonts w:hint="eastAsia"/>
              </w:rPr>
            </w:pPr>
          </w:p>
        </w:tc>
        <w:tc>
          <w:tcPr>
            <w:tcW w:w="1264" w:type="dxa"/>
            <w:vMerge w:val="continue"/>
            <w:tcMar>
              <w:top w:w="57" w:type="dxa"/>
              <w:bottom w:w="57" w:type="dxa"/>
            </w:tcMar>
            <w:vAlign w:val="center"/>
          </w:tcPr>
          <w:p w14:paraId="4D992B01">
            <w:pPr>
              <w:adjustRightInd w:val="0"/>
              <w:snapToGrid w:val="0"/>
              <w:ind w:firstLine="0" w:firstLineChars="0"/>
              <w:jc w:val="center"/>
              <w:rPr>
                <w:rFonts w:hint="eastAsia"/>
              </w:rPr>
            </w:pPr>
          </w:p>
        </w:tc>
        <w:tc>
          <w:tcPr>
            <w:tcW w:w="7698" w:type="dxa"/>
            <w:gridSpan w:val="3"/>
            <w:tcMar>
              <w:top w:w="57" w:type="dxa"/>
              <w:bottom w:w="57" w:type="dxa"/>
            </w:tcMar>
            <w:vAlign w:val="center"/>
          </w:tcPr>
          <w:p w14:paraId="0813A0C8">
            <w:pPr>
              <w:adjustRightInd w:val="0"/>
              <w:snapToGrid w:val="0"/>
              <w:rPr>
                <w:rFonts w:hint="eastAsia"/>
              </w:rPr>
            </w:pPr>
            <w:r>
              <w:t>制定依据：与教育部、国家发展改革委、工业和信息化部、财政部、人力资源社会保障部和国家税务总局制定《职业学校校企合作促进办法》（2018年）第八条相符合</w:t>
            </w:r>
          </w:p>
        </w:tc>
      </w:tr>
      <w:tr w14:paraId="640E58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0158A069">
            <w:pPr>
              <w:adjustRightInd w:val="0"/>
              <w:snapToGrid w:val="0"/>
              <w:ind w:firstLine="0" w:firstLineChars="0"/>
              <w:jc w:val="center"/>
              <w:rPr>
                <w:rFonts w:hint="eastAsia"/>
              </w:rPr>
            </w:pPr>
          </w:p>
        </w:tc>
        <w:tc>
          <w:tcPr>
            <w:tcW w:w="1264" w:type="dxa"/>
            <w:vMerge w:val="restart"/>
            <w:tcMar>
              <w:top w:w="57" w:type="dxa"/>
              <w:bottom w:w="57" w:type="dxa"/>
            </w:tcMar>
            <w:vAlign w:val="center"/>
          </w:tcPr>
          <w:p w14:paraId="400E8C06">
            <w:pPr>
              <w:adjustRightInd w:val="0"/>
              <w:snapToGrid w:val="0"/>
              <w:ind w:firstLine="0" w:firstLineChars="0"/>
              <w:jc w:val="center"/>
              <w:rPr>
                <w:rFonts w:hint="eastAsia"/>
              </w:rPr>
            </w:pPr>
            <w:r>
              <w:t>6.3反馈与改进</w:t>
            </w:r>
          </w:p>
        </w:tc>
        <w:tc>
          <w:tcPr>
            <w:tcW w:w="2563" w:type="dxa"/>
            <w:tcMar>
              <w:top w:w="57" w:type="dxa"/>
              <w:bottom w:w="57" w:type="dxa"/>
            </w:tcMar>
            <w:vAlign w:val="center"/>
          </w:tcPr>
          <w:p w14:paraId="091E9EA5">
            <w:pPr>
              <w:adjustRightInd w:val="0"/>
              <w:snapToGrid w:val="0"/>
              <w:rPr>
                <w:rFonts w:hint="eastAsia"/>
              </w:rPr>
            </w:pPr>
            <w:r>
              <w:rPr>
                <w:rFonts w:hint="eastAsia"/>
              </w:rPr>
              <w:t>定期对内部与外部评价结果进行综合分析，评价结果被用于专业与课程的诊断与改进</w:t>
            </w:r>
          </w:p>
        </w:tc>
        <w:tc>
          <w:tcPr>
            <w:tcW w:w="3830" w:type="dxa"/>
            <w:vAlign w:val="center"/>
          </w:tcPr>
          <w:p w14:paraId="76B8E46C">
            <w:pPr>
              <w:adjustRightInd w:val="0"/>
              <w:snapToGrid w:val="0"/>
              <w:rPr>
                <w:rFonts w:hint="eastAsia"/>
              </w:rPr>
            </w:pPr>
            <w:r>
              <w:rPr>
                <w:rFonts w:hint="eastAsia"/>
              </w:rPr>
              <w:t>针对内部与外部评价的专题教研活记录，对发现的问题所采取的措施</w:t>
            </w:r>
          </w:p>
          <w:p w14:paraId="2E200430">
            <w:pPr>
              <w:adjustRightInd w:val="0"/>
              <w:snapToGrid w:val="0"/>
              <w:rPr>
                <w:rFonts w:hint="eastAsia"/>
              </w:rPr>
            </w:pPr>
            <w:r>
              <w:rPr>
                <w:rFonts w:hint="eastAsia"/>
              </w:rPr>
              <w:t>各种监控与评价结果被用于近三年培养目标、毕业要求、课程体系、教学实施等持续改进的汇总材料</w:t>
            </w:r>
          </w:p>
          <w:p w14:paraId="1D4D7025">
            <w:pPr>
              <w:adjustRightInd w:val="0"/>
              <w:snapToGrid w:val="0"/>
              <w:rPr>
                <w:rFonts w:hint="eastAsia"/>
              </w:rPr>
            </w:pPr>
            <w:r>
              <w:rPr>
                <w:rFonts w:hint="eastAsia"/>
              </w:rPr>
              <w:t>近三年课程、专业诊断与改进报告，毕业要求达成情况分析报告</w:t>
            </w:r>
          </w:p>
        </w:tc>
        <w:tc>
          <w:tcPr>
            <w:tcW w:w="1305" w:type="dxa"/>
            <w:vAlign w:val="center"/>
          </w:tcPr>
          <w:p w14:paraId="3ED3F297">
            <w:pPr>
              <w:adjustRightInd w:val="0"/>
              <w:snapToGrid w:val="0"/>
              <w:ind w:firstLine="0" w:firstLineChars="0"/>
              <w:jc w:val="center"/>
              <w:rPr>
                <w:rFonts w:hint="eastAsia"/>
              </w:rPr>
            </w:pPr>
            <w:r>
              <w:t>证据判断法</w:t>
            </w:r>
          </w:p>
        </w:tc>
      </w:tr>
      <w:tr w14:paraId="155186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156DE708">
            <w:pPr>
              <w:adjustRightInd w:val="0"/>
              <w:snapToGrid w:val="0"/>
              <w:ind w:firstLine="0" w:firstLineChars="0"/>
              <w:jc w:val="center"/>
              <w:rPr>
                <w:rFonts w:hint="eastAsia"/>
              </w:rPr>
            </w:pPr>
          </w:p>
        </w:tc>
        <w:tc>
          <w:tcPr>
            <w:tcW w:w="1264" w:type="dxa"/>
            <w:vMerge w:val="continue"/>
            <w:tcMar>
              <w:top w:w="57" w:type="dxa"/>
              <w:bottom w:w="57" w:type="dxa"/>
            </w:tcMar>
            <w:vAlign w:val="center"/>
          </w:tcPr>
          <w:p w14:paraId="3444D820">
            <w:pPr>
              <w:adjustRightInd w:val="0"/>
              <w:snapToGrid w:val="0"/>
              <w:ind w:firstLine="0" w:firstLineChars="0"/>
              <w:jc w:val="center"/>
              <w:rPr>
                <w:rFonts w:hint="eastAsia"/>
              </w:rPr>
            </w:pPr>
          </w:p>
        </w:tc>
        <w:tc>
          <w:tcPr>
            <w:tcW w:w="7698" w:type="dxa"/>
            <w:gridSpan w:val="3"/>
            <w:tcMar>
              <w:top w:w="57" w:type="dxa"/>
              <w:bottom w:w="57" w:type="dxa"/>
            </w:tcMar>
            <w:vAlign w:val="center"/>
          </w:tcPr>
          <w:p w14:paraId="502422A2">
            <w:pPr>
              <w:adjustRightInd w:val="0"/>
              <w:snapToGrid w:val="0"/>
              <w:rPr>
                <w:rFonts w:hint="eastAsia"/>
              </w:rPr>
            </w:pPr>
            <w:r>
              <w:t>制定依据：与教育部《关于全面推进职业院校教学工作诊断与改进制度建设的通知（教职成司函〔2017〕56号）》要求一致</w:t>
            </w:r>
          </w:p>
        </w:tc>
      </w:tr>
      <w:tr w14:paraId="0CA77B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restart"/>
            <w:tcMar>
              <w:top w:w="57" w:type="dxa"/>
              <w:bottom w:w="57" w:type="dxa"/>
            </w:tcMar>
            <w:vAlign w:val="center"/>
          </w:tcPr>
          <w:p w14:paraId="73B414C3">
            <w:pPr>
              <w:adjustRightInd w:val="0"/>
              <w:snapToGrid w:val="0"/>
              <w:ind w:firstLine="0" w:firstLineChars="0"/>
              <w:jc w:val="center"/>
              <w:rPr>
                <w:rFonts w:hint="eastAsia"/>
              </w:rPr>
            </w:pPr>
            <w:r>
              <w:t>7师资队伍</w:t>
            </w:r>
          </w:p>
        </w:tc>
        <w:tc>
          <w:tcPr>
            <w:tcW w:w="1264" w:type="dxa"/>
            <w:vMerge w:val="restart"/>
            <w:tcMar>
              <w:top w:w="57" w:type="dxa"/>
              <w:bottom w:w="57" w:type="dxa"/>
            </w:tcMar>
            <w:vAlign w:val="center"/>
          </w:tcPr>
          <w:p w14:paraId="5E8D64EA">
            <w:pPr>
              <w:adjustRightInd w:val="0"/>
              <w:snapToGrid w:val="0"/>
              <w:ind w:firstLine="0" w:firstLineChars="0"/>
              <w:jc w:val="center"/>
              <w:rPr>
                <w:rFonts w:hint="eastAsia"/>
              </w:rPr>
            </w:pPr>
            <w:r>
              <w:t>7.1团队结构与建设机制</w:t>
            </w:r>
          </w:p>
        </w:tc>
        <w:tc>
          <w:tcPr>
            <w:tcW w:w="2563" w:type="dxa"/>
            <w:tcMar>
              <w:top w:w="57" w:type="dxa"/>
              <w:bottom w:w="57" w:type="dxa"/>
            </w:tcMar>
            <w:vAlign w:val="center"/>
          </w:tcPr>
          <w:p w14:paraId="71654A62">
            <w:pPr>
              <w:adjustRightInd w:val="0"/>
              <w:snapToGrid w:val="0"/>
              <w:rPr>
                <w:rFonts w:hint="eastAsia"/>
              </w:rPr>
            </w:pPr>
            <w:r>
              <w:rPr>
                <w:rFonts w:hint="eastAsia"/>
              </w:rPr>
              <w:t>学校建立完善的教师队伍建设与管理机制</w:t>
            </w:r>
          </w:p>
        </w:tc>
        <w:tc>
          <w:tcPr>
            <w:tcW w:w="3830" w:type="dxa"/>
            <w:vAlign w:val="center"/>
          </w:tcPr>
          <w:p w14:paraId="55E38896">
            <w:pPr>
              <w:adjustRightInd w:val="0"/>
              <w:snapToGrid w:val="0"/>
              <w:rPr>
                <w:rFonts w:hint="eastAsia"/>
              </w:rPr>
            </w:pPr>
            <w:r>
              <w:rPr>
                <w:rFonts w:hint="eastAsia"/>
              </w:rPr>
              <w:t>包括专业教学团队培育与考核制度在内的师资队伍建设与管理制度汇总材料</w:t>
            </w:r>
          </w:p>
        </w:tc>
        <w:tc>
          <w:tcPr>
            <w:tcW w:w="1305" w:type="dxa"/>
            <w:vAlign w:val="center"/>
          </w:tcPr>
          <w:p w14:paraId="14FBCD6B">
            <w:pPr>
              <w:adjustRightInd w:val="0"/>
              <w:snapToGrid w:val="0"/>
              <w:ind w:firstLine="0" w:firstLineChars="0"/>
              <w:jc w:val="center"/>
              <w:rPr>
                <w:rFonts w:hint="eastAsia"/>
              </w:rPr>
            </w:pPr>
            <w:r>
              <w:t>统计数据法</w:t>
            </w:r>
          </w:p>
          <w:p w14:paraId="1B043D11">
            <w:pPr>
              <w:adjustRightInd w:val="0"/>
              <w:snapToGrid w:val="0"/>
              <w:ind w:firstLine="0" w:firstLineChars="0"/>
              <w:jc w:val="center"/>
              <w:rPr>
                <w:rFonts w:hint="eastAsia"/>
              </w:rPr>
            </w:pPr>
            <w:r>
              <w:t>证据判断法</w:t>
            </w:r>
          </w:p>
        </w:tc>
      </w:tr>
      <w:tr w14:paraId="74119F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1040BF7F">
            <w:pPr>
              <w:adjustRightInd w:val="0"/>
              <w:snapToGrid w:val="0"/>
              <w:rPr>
                <w:rFonts w:hint="eastAsia"/>
              </w:rPr>
            </w:pPr>
          </w:p>
        </w:tc>
        <w:tc>
          <w:tcPr>
            <w:tcW w:w="1264" w:type="dxa"/>
            <w:vMerge w:val="continue"/>
            <w:tcMar>
              <w:top w:w="57" w:type="dxa"/>
              <w:bottom w:w="57" w:type="dxa"/>
            </w:tcMar>
            <w:vAlign w:val="center"/>
          </w:tcPr>
          <w:p w14:paraId="1EFF133A">
            <w:pPr>
              <w:adjustRightInd w:val="0"/>
              <w:snapToGrid w:val="0"/>
              <w:rPr>
                <w:rFonts w:hint="eastAsia"/>
              </w:rPr>
            </w:pPr>
          </w:p>
        </w:tc>
        <w:tc>
          <w:tcPr>
            <w:tcW w:w="7698" w:type="dxa"/>
            <w:gridSpan w:val="3"/>
            <w:tcMar>
              <w:top w:w="57" w:type="dxa"/>
              <w:bottom w:w="57" w:type="dxa"/>
            </w:tcMar>
            <w:vAlign w:val="center"/>
          </w:tcPr>
          <w:p w14:paraId="3A91525D">
            <w:pPr>
              <w:adjustRightInd w:val="0"/>
              <w:snapToGrid w:val="0"/>
              <w:rPr>
                <w:rFonts w:hint="eastAsia"/>
              </w:rPr>
            </w:pPr>
            <w:r>
              <w:t>制定依据：与《中华人民共和国职业教育法》（2022年修订）第四十四、四十五、四十六等条款一致</w:t>
            </w:r>
          </w:p>
        </w:tc>
      </w:tr>
      <w:tr w14:paraId="48DF95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632ADDD8">
            <w:pPr>
              <w:adjustRightInd w:val="0"/>
              <w:snapToGrid w:val="0"/>
              <w:rPr>
                <w:rFonts w:hint="eastAsia"/>
              </w:rPr>
            </w:pPr>
          </w:p>
        </w:tc>
        <w:tc>
          <w:tcPr>
            <w:tcW w:w="1264" w:type="dxa"/>
            <w:vMerge w:val="continue"/>
            <w:tcMar>
              <w:top w:w="57" w:type="dxa"/>
              <w:bottom w:w="57" w:type="dxa"/>
            </w:tcMar>
            <w:vAlign w:val="center"/>
          </w:tcPr>
          <w:p w14:paraId="7E8D97C8">
            <w:pPr>
              <w:adjustRightInd w:val="0"/>
              <w:snapToGrid w:val="0"/>
              <w:rPr>
                <w:rFonts w:hint="eastAsia"/>
              </w:rPr>
            </w:pPr>
          </w:p>
        </w:tc>
        <w:tc>
          <w:tcPr>
            <w:tcW w:w="2563" w:type="dxa"/>
            <w:tcMar>
              <w:top w:w="57" w:type="dxa"/>
              <w:bottom w:w="57" w:type="dxa"/>
            </w:tcMar>
            <w:vAlign w:val="center"/>
          </w:tcPr>
          <w:p w14:paraId="1904DE93">
            <w:pPr>
              <w:adjustRightInd w:val="0"/>
              <w:snapToGrid w:val="0"/>
              <w:rPr>
                <w:rFonts w:hint="eastAsia"/>
              </w:rPr>
            </w:pPr>
            <w:r>
              <w:t>专业生师比不高于</w:t>
            </w:r>
            <w:r>
              <w:rPr>
                <w:rFonts w:hint="eastAsia"/>
              </w:rPr>
              <w:t>25：1</w:t>
            </w:r>
          </w:p>
        </w:tc>
        <w:tc>
          <w:tcPr>
            <w:tcW w:w="3830" w:type="dxa"/>
            <w:vAlign w:val="center"/>
          </w:tcPr>
          <w:p w14:paraId="6ADB7E3F">
            <w:pPr>
              <w:adjustRightInd w:val="0"/>
              <w:snapToGrid w:val="0"/>
              <w:rPr>
                <w:rFonts w:hint="eastAsia"/>
              </w:rPr>
            </w:pPr>
            <w:r>
              <w:rPr>
                <w:rFonts w:hint="eastAsia"/>
              </w:rPr>
              <w:t>近三年专业教师基本信息表、专业在校生信息表，专业生师比统计分析材料</w:t>
            </w:r>
          </w:p>
          <w:p w14:paraId="018736B8">
            <w:pPr>
              <w:adjustRightInd w:val="0"/>
              <w:snapToGrid w:val="0"/>
              <w:rPr>
                <w:rFonts w:hint="eastAsia"/>
              </w:rPr>
            </w:pPr>
            <w:r>
              <w:rPr>
                <w:rFonts w:hint="eastAsia"/>
              </w:rPr>
              <w:t>近三年专业课程表，教师课程表、教学工作量表等</w:t>
            </w:r>
          </w:p>
        </w:tc>
        <w:tc>
          <w:tcPr>
            <w:tcW w:w="1305" w:type="dxa"/>
            <w:vAlign w:val="center"/>
          </w:tcPr>
          <w:p w14:paraId="3B4ADFD3">
            <w:pPr>
              <w:adjustRightInd w:val="0"/>
              <w:snapToGrid w:val="0"/>
              <w:ind w:firstLine="0" w:firstLineChars="0"/>
              <w:jc w:val="center"/>
              <w:rPr>
                <w:rFonts w:hint="eastAsia"/>
              </w:rPr>
            </w:pPr>
            <w:r>
              <w:t>统计数据法</w:t>
            </w:r>
          </w:p>
          <w:p w14:paraId="42797739">
            <w:pPr>
              <w:adjustRightInd w:val="0"/>
              <w:snapToGrid w:val="0"/>
              <w:ind w:firstLine="0" w:firstLineChars="0"/>
              <w:jc w:val="center"/>
              <w:rPr>
                <w:rFonts w:hint="eastAsia"/>
              </w:rPr>
            </w:pPr>
            <w:r>
              <w:t>证据判断法</w:t>
            </w:r>
          </w:p>
        </w:tc>
      </w:tr>
      <w:tr w14:paraId="4BFBAB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446EC140">
            <w:pPr>
              <w:adjustRightInd w:val="0"/>
              <w:snapToGrid w:val="0"/>
              <w:rPr>
                <w:rFonts w:hint="eastAsia"/>
              </w:rPr>
            </w:pPr>
          </w:p>
        </w:tc>
        <w:tc>
          <w:tcPr>
            <w:tcW w:w="1264" w:type="dxa"/>
            <w:vMerge w:val="continue"/>
            <w:tcMar>
              <w:top w:w="57" w:type="dxa"/>
              <w:bottom w:w="57" w:type="dxa"/>
            </w:tcMar>
            <w:vAlign w:val="center"/>
          </w:tcPr>
          <w:p w14:paraId="67F882C6">
            <w:pPr>
              <w:adjustRightInd w:val="0"/>
              <w:snapToGrid w:val="0"/>
              <w:rPr>
                <w:rFonts w:hint="eastAsia"/>
              </w:rPr>
            </w:pPr>
          </w:p>
        </w:tc>
        <w:tc>
          <w:tcPr>
            <w:tcW w:w="7698" w:type="dxa"/>
            <w:gridSpan w:val="3"/>
            <w:tcMar>
              <w:top w:w="57" w:type="dxa"/>
              <w:bottom w:w="57" w:type="dxa"/>
            </w:tcMar>
            <w:vAlign w:val="center"/>
          </w:tcPr>
          <w:p w14:paraId="43BDCD8E">
            <w:pPr>
              <w:adjustRightInd w:val="0"/>
              <w:snapToGrid w:val="0"/>
              <w:rPr>
                <w:rFonts w:hint="eastAsia"/>
              </w:rPr>
            </w:pPr>
            <w:r>
              <w:t>制定依据：与《高等职业学校办学条件监测指标（试行）》五11（3）的指标值一致</w:t>
            </w:r>
          </w:p>
          <w:p w14:paraId="6383A271">
            <w:pPr>
              <w:adjustRightInd w:val="0"/>
              <w:snapToGrid w:val="0"/>
              <w:rPr>
                <w:rFonts w:hint="eastAsia"/>
              </w:rPr>
            </w:pPr>
            <w:r>
              <w:t>专业生师比＝专业在校生数/专业教师总数</w:t>
            </w:r>
          </w:p>
        </w:tc>
      </w:tr>
      <w:tr w14:paraId="1FD3E7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10EC87C3">
            <w:pPr>
              <w:adjustRightInd w:val="0"/>
              <w:snapToGrid w:val="0"/>
              <w:rPr>
                <w:rFonts w:hint="eastAsia"/>
              </w:rPr>
            </w:pPr>
          </w:p>
        </w:tc>
        <w:tc>
          <w:tcPr>
            <w:tcW w:w="1264" w:type="dxa"/>
            <w:vMerge w:val="continue"/>
            <w:tcMar>
              <w:top w:w="57" w:type="dxa"/>
              <w:bottom w:w="57" w:type="dxa"/>
            </w:tcMar>
            <w:vAlign w:val="center"/>
          </w:tcPr>
          <w:p w14:paraId="5D20ED6C">
            <w:pPr>
              <w:adjustRightInd w:val="0"/>
              <w:snapToGrid w:val="0"/>
              <w:rPr>
                <w:rFonts w:hint="eastAsia"/>
              </w:rPr>
            </w:pPr>
          </w:p>
        </w:tc>
        <w:tc>
          <w:tcPr>
            <w:tcW w:w="2563" w:type="dxa"/>
            <w:tcMar>
              <w:top w:w="57" w:type="dxa"/>
              <w:bottom w:w="57" w:type="dxa"/>
            </w:tcMar>
            <w:vAlign w:val="center"/>
          </w:tcPr>
          <w:p w14:paraId="5341412B">
            <w:pPr>
              <w:adjustRightInd w:val="0"/>
              <w:snapToGrid w:val="0"/>
              <w:rPr>
                <w:rFonts w:hint="eastAsia"/>
              </w:rPr>
            </w:pPr>
            <w:r>
              <w:rPr>
                <w:rFonts w:hint="eastAsia"/>
              </w:rPr>
              <w:t>“双师型”教师占专业课教师数比例不低于60%</w:t>
            </w:r>
          </w:p>
        </w:tc>
        <w:tc>
          <w:tcPr>
            <w:tcW w:w="3830" w:type="dxa"/>
            <w:vAlign w:val="center"/>
          </w:tcPr>
          <w:p w14:paraId="096DEEE8">
            <w:pPr>
              <w:adjustRightInd w:val="0"/>
              <w:snapToGrid w:val="0"/>
              <w:rPr>
                <w:rFonts w:hint="eastAsia"/>
              </w:rPr>
            </w:pPr>
            <w:r>
              <w:rPr>
                <w:rFonts w:hint="eastAsia"/>
              </w:rPr>
              <w:t>近三年“双师型”教师占专业课教师数比例统计分析材料</w:t>
            </w:r>
          </w:p>
        </w:tc>
        <w:tc>
          <w:tcPr>
            <w:tcW w:w="1305" w:type="dxa"/>
            <w:vAlign w:val="center"/>
          </w:tcPr>
          <w:p w14:paraId="5972FD6A">
            <w:pPr>
              <w:adjustRightInd w:val="0"/>
              <w:snapToGrid w:val="0"/>
              <w:ind w:firstLine="0" w:firstLineChars="0"/>
              <w:jc w:val="center"/>
              <w:rPr>
                <w:rFonts w:hint="eastAsia"/>
              </w:rPr>
            </w:pPr>
            <w:r>
              <w:t>统计数据法</w:t>
            </w:r>
          </w:p>
          <w:p w14:paraId="2B70C21F">
            <w:pPr>
              <w:adjustRightInd w:val="0"/>
              <w:snapToGrid w:val="0"/>
              <w:ind w:firstLine="0" w:firstLineChars="0"/>
              <w:jc w:val="center"/>
              <w:rPr>
                <w:rFonts w:hint="eastAsia"/>
              </w:rPr>
            </w:pPr>
            <w:r>
              <w:t>证据判断法</w:t>
            </w:r>
          </w:p>
        </w:tc>
      </w:tr>
      <w:tr w14:paraId="6288B9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1F5EEAC5">
            <w:pPr>
              <w:adjustRightInd w:val="0"/>
              <w:snapToGrid w:val="0"/>
              <w:rPr>
                <w:rFonts w:hint="eastAsia"/>
              </w:rPr>
            </w:pPr>
          </w:p>
        </w:tc>
        <w:tc>
          <w:tcPr>
            <w:tcW w:w="1264" w:type="dxa"/>
            <w:vMerge w:val="continue"/>
            <w:tcMar>
              <w:top w:w="57" w:type="dxa"/>
              <w:bottom w:w="57" w:type="dxa"/>
            </w:tcMar>
            <w:vAlign w:val="center"/>
          </w:tcPr>
          <w:p w14:paraId="17614C34">
            <w:pPr>
              <w:adjustRightInd w:val="0"/>
              <w:snapToGrid w:val="0"/>
              <w:rPr>
                <w:rFonts w:hint="eastAsia"/>
              </w:rPr>
            </w:pPr>
          </w:p>
        </w:tc>
        <w:tc>
          <w:tcPr>
            <w:tcW w:w="7698" w:type="dxa"/>
            <w:gridSpan w:val="3"/>
            <w:tcMar>
              <w:top w:w="57" w:type="dxa"/>
              <w:bottom w:w="57" w:type="dxa"/>
            </w:tcMar>
            <w:vAlign w:val="center"/>
          </w:tcPr>
          <w:p w14:paraId="0AB5290E">
            <w:pPr>
              <w:adjustRightInd w:val="0"/>
              <w:snapToGrid w:val="0"/>
              <w:rPr>
                <w:rFonts w:hint="eastAsia"/>
              </w:rPr>
            </w:pPr>
            <w:r>
              <w:t>制定依据：与《高等职业学校办学条件监测指标（试行）》五13（1）（2）的指标值一致</w:t>
            </w:r>
          </w:p>
          <w:p w14:paraId="62F4C078">
            <w:pPr>
              <w:adjustRightInd w:val="0"/>
              <w:snapToGrid w:val="0"/>
              <w:rPr>
                <w:rFonts w:hint="eastAsia"/>
              </w:rPr>
            </w:pPr>
            <w:r>
              <w:t>“双师型”专业课专任教师为符合《职业教育“双师型”教师基本标准（试行）》所设条件的专业课专任教师</w:t>
            </w:r>
          </w:p>
        </w:tc>
      </w:tr>
      <w:tr w14:paraId="294CFB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237972E">
            <w:pPr>
              <w:adjustRightInd w:val="0"/>
              <w:snapToGrid w:val="0"/>
              <w:rPr>
                <w:rFonts w:hint="eastAsia"/>
              </w:rPr>
            </w:pPr>
          </w:p>
        </w:tc>
        <w:tc>
          <w:tcPr>
            <w:tcW w:w="1264" w:type="dxa"/>
            <w:vMerge w:val="continue"/>
            <w:tcMar>
              <w:top w:w="57" w:type="dxa"/>
              <w:bottom w:w="57" w:type="dxa"/>
            </w:tcMar>
            <w:vAlign w:val="center"/>
          </w:tcPr>
          <w:p w14:paraId="19AF8BC4">
            <w:pPr>
              <w:adjustRightInd w:val="0"/>
              <w:snapToGrid w:val="0"/>
              <w:rPr>
                <w:rFonts w:hint="eastAsia"/>
              </w:rPr>
            </w:pPr>
          </w:p>
        </w:tc>
        <w:tc>
          <w:tcPr>
            <w:tcW w:w="2563" w:type="dxa"/>
            <w:tcMar>
              <w:top w:w="57" w:type="dxa"/>
              <w:bottom w:w="57" w:type="dxa"/>
            </w:tcMar>
            <w:vAlign w:val="center"/>
          </w:tcPr>
          <w:p w14:paraId="7E919FB0">
            <w:pPr>
              <w:adjustRightInd w:val="0"/>
              <w:snapToGrid w:val="0"/>
              <w:rPr>
                <w:rFonts w:hint="eastAsia"/>
              </w:rPr>
            </w:pPr>
            <w:r>
              <w:rPr>
                <w:rFonts w:hint="eastAsia"/>
              </w:rPr>
              <w:t>高级职称专任教师的比例不低于20%</w:t>
            </w:r>
          </w:p>
        </w:tc>
        <w:tc>
          <w:tcPr>
            <w:tcW w:w="3830" w:type="dxa"/>
            <w:vAlign w:val="center"/>
          </w:tcPr>
          <w:p w14:paraId="33A819B3">
            <w:pPr>
              <w:adjustRightInd w:val="0"/>
              <w:snapToGrid w:val="0"/>
              <w:rPr>
                <w:rFonts w:hint="eastAsia"/>
              </w:rPr>
            </w:pPr>
            <w:r>
              <w:rPr>
                <w:rFonts w:hint="eastAsia"/>
              </w:rPr>
              <w:t>近三年高级职称专任教师的比例统计分析材料</w:t>
            </w:r>
          </w:p>
        </w:tc>
        <w:tc>
          <w:tcPr>
            <w:tcW w:w="1305" w:type="dxa"/>
            <w:vAlign w:val="center"/>
          </w:tcPr>
          <w:p w14:paraId="52EEBE1E">
            <w:pPr>
              <w:adjustRightInd w:val="0"/>
              <w:snapToGrid w:val="0"/>
              <w:ind w:firstLine="0" w:firstLineChars="0"/>
              <w:jc w:val="center"/>
              <w:rPr>
                <w:rFonts w:hint="eastAsia"/>
              </w:rPr>
            </w:pPr>
            <w:r>
              <w:t>统计数据法</w:t>
            </w:r>
          </w:p>
          <w:p w14:paraId="2C0079CA">
            <w:pPr>
              <w:adjustRightInd w:val="0"/>
              <w:snapToGrid w:val="0"/>
              <w:ind w:firstLine="0" w:firstLineChars="0"/>
              <w:jc w:val="center"/>
              <w:rPr>
                <w:rFonts w:hint="eastAsia"/>
              </w:rPr>
            </w:pPr>
            <w:r>
              <w:t>证据判断法</w:t>
            </w:r>
          </w:p>
        </w:tc>
      </w:tr>
      <w:tr w14:paraId="58F0CF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095ECACD">
            <w:pPr>
              <w:adjustRightInd w:val="0"/>
              <w:snapToGrid w:val="0"/>
              <w:rPr>
                <w:rFonts w:hint="eastAsia"/>
              </w:rPr>
            </w:pPr>
          </w:p>
        </w:tc>
        <w:tc>
          <w:tcPr>
            <w:tcW w:w="1264" w:type="dxa"/>
            <w:vMerge w:val="continue"/>
            <w:tcMar>
              <w:top w:w="57" w:type="dxa"/>
              <w:bottom w:w="57" w:type="dxa"/>
            </w:tcMar>
            <w:vAlign w:val="center"/>
          </w:tcPr>
          <w:p w14:paraId="1496D67E">
            <w:pPr>
              <w:adjustRightInd w:val="0"/>
              <w:snapToGrid w:val="0"/>
              <w:rPr>
                <w:rFonts w:hint="eastAsia"/>
              </w:rPr>
            </w:pPr>
          </w:p>
        </w:tc>
        <w:tc>
          <w:tcPr>
            <w:tcW w:w="7698" w:type="dxa"/>
            <w:gridSpan w:val="3"/>
            <w:tcMar>
              <w:top w:w="57" w:type="dxa"/>
              <w:bottom w:w="57" w:type="dxa"/>
            </w:tcMar>
            <w:vAlign w:val="center"/>
          </w:tcPr>
          <w:p w14:paraId="79AF6634">
            <w:pPr>
              <w:adjustRightInd w:val="0"/>
              <w:snapToGrid w:val="0"/>
              <w:rPr>
                <w:rFonts w:hint="eastAsia"/>
              </w:rPr>
            </w:pPr>
            <w:r>
              <w:t>制定依据：与《高等职业学校办学条件监测指标（试行）》四40的指标值一致</w:t>
            </w:r>
          </w:p>
        </w:tc>
      </w:tr>
      <w:tr w14:paraId="77B8A5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2949D08A">
            <w:pPr>
              <w:adjustRightInd w:val="0"/>
              <w:snapToGrid w:val="0"/>
              <w:rPr>
                <w:rFonts w:hint="eastAsia"/>
              </w:rPr>
            </w:pPr>
          </w:p>
        </w:tc>
        <w:tc>
          <w:tcPr>
            <w:tcW w:w="1264" w:type="dxa"/>
            <w:vMerge w:val="restart"/>
            <w:tcMar>
              <w:top w:w="57" w:type="dxa"/>
              <w:bottom w:w="57" w:type="dxa"/>
            </w:tcMar>
            <w:vAlign w:val="center"/>
          </w:tcPr>
          <w:p w14:paraId="0FD1FF06">
            <w:pPr>
              <w:adjustRightInd w:val="0"/>
              <w:snapToGrid w:val="0"/>
              <w:ind w:firstLine="0" w:firstLineChars="0"/>
              <w:jc w:val="center"/>
              <w:rPr>
                <w:rFonts w:hint="eastAsia"/>
              </w:rPr>
            </w:pPr>
            <w:r>
              <w:t>7.2教学资质与能力</w:t>
            </w:r>
          </w:p>
        </w:tc>
        <w:tc>
          <w:tcPr>
            <w:tcW w:w="2563" w:type="dxa"/>
            <w:tcMar>
              <w:top w:w="57" w:type="dxa"/>
              <w:bottom w:w="57" w:type="dxa"/>
            </w:tcMar>
            <w:vAlign w:val="center"/>
          </w:tcPr>
          <w:p w14:paraId="06314833">
            <w:pPr>
              <w:adjustRightInd w:val="0"/>
              <w:snapToGrid w:val="0"/>
              <w:rPr>
                <w:rFonts w:hint="eastAsia"/>
              </w:rPr>
            </w:pPr>
            <w:r>
              <w:rPr>
                <w:rFonts w:hint="eastAsia"/>
              </w:rPr>
              <w:t>专业教师具有良好的师德师风，教学与研究能力能满足专业教学与改革的需求</w:t>
            </w:r>
          </w:p>
        </w:tc>
        <w:tc>
          <w:tcPr>
            <w:tcW w:w="3830" w:type="dxa"/>
            <w:vAlign w:val="center"/>
          </w:tcPr>
          <w:p w14:paraId="2BAB76CA">
            <w:pPr>
              <w:adjustRightInd w:val="0"/>
              <w:snapToGrid w:val="0"/>
              <w:rPr>
                <w:rFonts w:hint="eastAsia"/>
              </w:rPr>
            </w:pPr>
            <w:r>
              <w:rPr>
                <w:rFonts w:hint="eastAsia"/>
              </w:rPr>
              <w:t>专业教师持有的省市级认定机构颁发的高等学校教师资格证书、大学本科及以上毕业学历的统计分析材料</w:t>
            </w:r>
          </w:p>
          <w:p w14:paraId="6BF8E7F1">
            <w:pPr>
              <w:adjustRightInd w:val="0"/>
              <w:snapToGrid w:val="0"/>
              <w:rPr>
                <w:rFonts w:hint="eastAsia"/>
              </w:rPr>
            </w:pPr>
            <w:r>
              <w:rPr>
                <w:rFonts w:hint="eastAsia"/>
              </w:rPr>
              <w:t>近三年专业教师结项的校级或以上教学研究项目、发表的教学研究论文的汇总材料</w:t>
            </w:r>
          </w:p>
          <w:p w14:paraId="46E6EA1B">
            <w:pPr>
              <w:adjustRightInd w:val="0"/>
              <w:snapToGrid w:val="0"/>
              <w:rPr>
                <w:rFonts w:hint="eastAsia"/>
              </w:rPr>
            </w:pPr>
            <w:r>
              <w:rPr>
                <w:rFonts w:hint="eastAsia"/>
              </w:rPr>
              <w:t>近三年新入职专业教师和新聘的兼职教师接受教学基本规范培训，取得校级及以上的合格证书的汇总材料</w:t>
            </w:r>
          </w:p>
          <w:p w14:paraId="23AFFAD5">
            <w:pPr>
              <w:adjustRightInd w:val="0"/>
              <w:snapToGrid w:val="0"/>
              <w:rPr>
                <w:rFonts w:hint="eastAsia"/>
              </w:rPr>
            </w:pPr>
            <w:r>
              <w:rPr>
                <w:rFonts w:hint="eastAsia"/>
              </w:rPr>
              <w:t>近五年专业教师持有与本专业相关的专业或职业技能等证书汇总材料</w:t>
            </w:r>
          </w:p>
        </w:tc>
        <w:tc>
          <w:tcPr>
            <w:tcW w:w="1305" w:type="dxa"/>
            <w:vAlign w:val="center"/>
          </w:tcPr>
          <w:p w14:paraId="31367BDF">
            <w:pPr>
              <w:adjustRightInd w:val="0"/>
              <w:snapToGrid w:val="0"/>
              <w:ind w:firstLine="0" w:firstLineChars="0"/>
              <w:jc w:val="center"/>
              <w:rPr>
                <w:rFonts w:hint="eastAsia"/>
              </w:rPr>
            </w:pPr>
            <w:r>
              <w:t>统计数据法</w:t>
            </w:r>
          </w:p>
          <w:p w14:paraId="123AE039">
            <w:pPr>
              <w:adjustRightInd w:val="0"/>
              <w:snapToGrid w:val="0"/>
              <w:ind w:firstLine="0" w:firstLineChars="0"/>
              <w:jc w:val="center"/>
              <w:rPr>
                <w:rFonts w:hint="eastAsia"/>
              </w:rPr>
            </w:pPr>
            <w:r>
              <w:t>证据判断法</w:t>
            </w:r>
          </w:p>
        </w:tc>
      </w:tr>
      <w:tr w14:paraId="76CDD5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01BB95B0">
            <w:pPr>
              <w:adjustRightInd w:val="0"/>
              <w:snapToGrid w:val="0"/>
              <w:rPr>
                <w:rFonts w:hint="eastAsia"/>
              </w:rPr>
            </w:pPr>
          </w:p>
        </w:tc>
        <w:tc>
          <w:tcPr>
            <w:tcW w:w="1264" w:type="dxa"/>
            <w:vMerge w:val="continue"/>
            <w:tcMar>
              <w:top w:w="57" w:type="dxa"/>
              <w:bottom w:w="57" w:type="dxa"/>
            </w:tcMar>
            <w:vAlign w:val="center"/>
          </w:tcPr>
          <w:p w14:paraId="146A39D0">
            <w:pPr>
              <w:adjustRightInd w:val="0"/>
              <w:snapToGrid w:val="0"/>
              <w:rPr>
                <w:rFonts w:hint="eastAsia"/>
              </w:rPr>
            </w:pPr>
          </w:p>
        </w:tc>
        <w:tc>
          <w:tcPr>
            <w:tcW w:w="7698" w:type="dxa"/>
            <w:gridSpan w:val="3"/>
            <w:tcMar>
              <w:top w:w="57" w:type="dxa"/>
              <w:bottom w:w="57" w:type="dxa"/>
            </w:tcMar>
            <w:vAlign w:val="center"/>
          </w:tcPr>
          <w:p w14:paraId="4A388EDF">
            <w:pPr>
              <w:adjustRightInd w:val="0"/>
              <w:snapToGrid w:val="0"/>
              <w:rPr>
                <w:rFonts w:hint="eastAsia"/>
              </w:rPr>
            </w:pPr>
            <w:r>
              <w:t>制定依据：与《教育部 财政部关于实施职业院校教师素质提高计划（2021—2025年）的通知（教师函〔2021〕6号）二（一）1、3相符合</w:t>
            </w:r>
          </w:p>
        </w:tc>
      </w:tr>
      <w:tr w14:paraId="412B01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517A1891">
            <w:pPr>
              <w:adjustRightInd w:val="0"/>
              <w:snapToGrid w:val="0"/>
              <w:rPr>
                <w:rFonts w:hint="eastAsia"/>
              </w:rPr>
            </w:pPr>
          </w:p>
        </w:tc>
        <w:tc>
          <w:tcPr>
            <w:tcW w:w="1264" w:type="dxa"/>
            <w:vMerge w:val="continue"/>
            <w:tcMar>
              <w:top w:w="57" w:type="dxa"/>
              <w:bottom w:w="57" w:type="dxa"/>
            </w:tcMar>
            <w:vAlign w:val="center"/>
          </w:tcPr>
          <w:p w14:paraId="540D4E50">
            <w:pPr>
              <w:adjustRightInd w:val="0"/>
              <w:snapToGrid w:val="0"/>
              <w:rPr>
                <w:rFonts w:hint="eastAsia"/>
              </w:rPr>
            </w:pPr>
          </w:p>
        </w:tc>
        <w:tc>
          <w:tcPr>
            <w:tcW w:w="2563" w:type="dxa"/>
            <w:tcMar>
              <w:top w:w="57" w:type="dxa"/>
              <w:bottom w:w="57" w:type="dxa"/>
            </w:tcMar>
            <w:vAlign w:val="center"/>
          </w:tcPr>
          <w:p w14:paraId="1D823286">
            <w:pPr>
              <w:adjustRightInd w:val="0"/>
              <w:snapToGrid w:val="0"/>
              <w:rPr>
                <w:rFonts w:hint="eastAsia"/>
              </w:rPr>
            </w:pPr>
            <w:r>
              <w:rPr>
                <w:rFonts w:hint="eastAsia"/>
              </w:rPr>
              <w:t>专业带头人为具有副高及以上职称的“双师型”教师</w:t>
            </w:r>
          </w:p>
        </w:tc>
        <w:tc>
          <w:tcPr>
            <w:tcW w:w="3830" w:type="dxa"/>
            <w:vAlign w:val="center"/>
          </w:tcPr>
          <w:p w14:paraId="26D901E4">
            <w:pPr>
              <w:adjustRightInd w:val="0"/>
              <w:snapToGrid w:val="0"/>
              <w:rPr>
                <w:rFonts w:hint="eastAsia"/>
              </w:rPr>
            </w:pPr>
            <w:r>
              <w:rPr>
                <w:rFonts w:hint="eastAsia"/>
              </w:rPr>
              <w:t>专业带头人基本情况表和任命文件</w:t>
            </w:r>
          </w:p>
        </w:tc>
        <w:tc>
          <w:tcPr>
            <w:tcW w:w="1305" w:type="dxa"/>
            <w:vAlign w:val="center"/>
          </w:tcPr>
          <w:p w14:paraId="6E2A5F0B">
            <w:pPr>
              <w:adjustRightInd w:val="0"/>
              <w:snapToGrid w:val="0"/>
              <w:ind w:firstLine="0" w:firstLineChars="0"/>
              <w:jc w:val="center"/>
              <w:rPr>
                <w:rFonts w:hint="eastAsia"/>
              </w:rPr>
            </w:pPr>
            <w:r>
              <w:t>统计数据法</w:t>
            </w:r>
          </w:p>
          <w:p w14:paraId="6A8D1351">
            <w:pPr>
              <w:adjustRightInd w:val="0"/>
              <w:snapToGrid w:val="0"/>
              <w:ind w:firstLine="0" w:firstLineChars="0"/>
              <w:jc w:val="center"/>
              <w:rPr>
                <w:rFonts w:hint="eastAsia"/>
              </w:rPr>
            </w:pPr>
            <w:r>
              <w:t>证据判断法</w:t>
            </w:r>
          </w:p>
        </w:tc>
      </w:tr>
      <w:tr w14:paraId="11F313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29D3A4B7">
            <w:pPr>
              <w:adjustRightInd w:val="0"/>
              <w:snapToGrid w:val="0"/>
              <w:rPr>
                <w:rFonts w:hint="eastAsia"/>
              </w:rPr>
            </w:pPr>
          </w:p>
        </w:tc>
        <w:tc>
          <w:tcPr>
            <w:tcW w:w="1264" w:type="dxa"/>
            <w:vMerge w:val="continue"/>
            <w:tcMar>
              <w:top w:w="57" w:type="dxa"/>
              <w:bottom w:w="57" w:type="dxa"/>
            </w:tcMar>
            <w:vAlign w:val="center"/>
          </w:tcPr>
          <w:p w14:paraId="3762D048">
            <w:pPr>
              <w:adjustRightInd w:val="0"/>
              <w:snapToGrid w:val="0"/>
              <w:rPr>
                <w:rFonts w:hint="eastAsia"/>
              </w:rPr>
            </w:pPr>
          </w:p>
        </w:tc>
        <w:tc>
          <w:tcPr>
            <w:tcW w:w="7698" w:type="dxa"/>
            <w:gridSpan w:val="3"/>
            <w:tcMar>
              <w:top w:w="57" w:type="dxa"/>
              <w:bottom w:w="57" w:type="dxa"/>
            </w:tcMar>
            <w:vAlign w:val="center"/>
          </w:tcPr>
          <w:p w14:paraId="64DD1ECA">
            <w:pPr>
              <w:adjustRightInd w:val="0"/>
              <w:snapToGrid w:val="0"/>
              <w:rPr>
                <w:rFonts w:hint="eastAsia"/>
              </w:rPr>
            </w:pPr>
            <w:r>
              <w:t>制定依据：与《高等职业学校办学条件监测指标（试行）》四13、17的指标符合</w:t>
            </w:r>
          </w:p>
        </w:tc>
      </w:tr>
      <w:tr w14:paraId="3F4CF9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54F9408">
            <w:pPr>
              <w:adjustRightInd w:val="0"/>
              <w:snapToGrid w:val="0"/>
              <w:rPr>
                <w:rFonts w:hint="eastAsia"/>
              </w:rPr>
            </w:pPr>
          </w:p>
        </w:tc>
        <w:tc>
          <w:tcPr>
            <w:tcW w:w="1264" w:type="dxa"/>
            <w:vMerge w:val="restart"/>
            <w:tcMar>
              <w:top w:w="57" w:type="dxa"/>
              <w:bottom w:w="57" w:type="dxa"/>
            </w:tcMar>
            <w:vAlign w:val="center"/>
          </w:tcPr>
          <w:p w14:paraId="48EECE33">
            <w:pPr>
              <w:adjustRightInd w:val="0"/>
              <w:snapToGrid w:val="0"/>
              <w:ind w:firstLine="0" w:firstLineChars="0"/>
              <w:jc w:val="center"/>
              <w:rPr>
                <w:rFonts w:hint="eastAsia"/>
              </w:rPr>
            </w:pPr>
            <w:r>
              <w:t>7.3实践经历</w:t>
            </w:r>
          </w:p>
        </w:tc>
        <w:tc>
          <w:tcPr>
            <w:tcW w:w="2563" w:type="dxa"/>
            <w:tcMar>
              <w:top w:w="57" w:type="dxa"/>
              <w:bottom w:w="57" w:type="dxa"/>
            </w:tcMar>
            <w:vAlign w:val="center"/>
          </w:tcPr>
          <w:p w14:paraId="0C694576">
            <w:pPr>
              <w:adjustRightInd w:val="0"/>
              <w:snapToGrid w:val="0"/>
              <w:rPr>
                <w:rFonts w:hint="eastAsia"/>
              </w:rPr>
            </w:pPr>
            <w:r>
              <w:rPr>
                <w:rFonts w:hint="eastAsia"/>
              </w:rPr>
              <w:t>专业教师具有企业工作经历，每五年至少有6个月的机械行业生产、服务、研发等企业实践经历</w:t>
            </w:r>
          </w:p>
        </w:tc>
        <w:tc>
          <w:tcPr>
            <w:tcW w:w="3830" w:type="dxa"/>
            <w:vAlign w:val="center"/>
          </w:tcPr>
          <w:p w14:paraId="3D9A658E">
            <w:pPr>
              <w:adjustRightInd w:val="0"/>
              <w:snapToGrid w:val="0"/>
              <w:rPr>
                <w:rFonts w:hint="eastAsia"/>
              </w:rPr>
            </w:pPr>
            <w:r>
              <w:rPr>
                <w:rFonts w:hint="eastAsia"/>
              </w:rPr>
              <w:t>近五年专业教师参与机械行业生产、服务、研发等企业实践经历的过程性记录与汇总材料</w:t>
            </w:r>
          </w:p>
        </w:tc>
        <w:tc>
          <w:tcPr>
            <w:tcW w:w="1305" w:type="dxa"/>
            <w:vAlign w:val="center"/>
          </w:tcPr>
          <w:p w14:paraId="6736E06F">
            <w:pPr>
              <w:adjustRightInd w:val="0"/>
              <w:snapToGrid w:val="0"/>
              <w:ind w:firstLine="0" w:firstLineChars="0"/>
              <w:jc w:val="center"/>
              <w:rPr>
                <w:rFonts w:hint="eastAsia"/>
              </w:rPr>
            </w:pPr>
            <w:r>
              <w:t>证据判断法</w:t>
            </w:r>
          </w:p>
        </w:tc>
      </w:tr>
      <w:tr w14:paraId="436DAF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06FC9704">
            <w:pPr>
              <w:adjustRightInd w:val="0"/>
              <w:snapToGrid w:val="0"/>
              <w:rPr>
                <w:rFonts w:hint="eastAsia"/>
              </w:rPr>
            </w:pPr>
          </w:p>
        </w:tc>
        <w:tc>
          <w:tcPr>
            <w:tcW w:w="1264" w:type="dxa"/>
            <w:vMerge w:val="continue"/>
            <w:tcMar>
              <w:top w:w="57" w:type="dxa"/>
              <w:bottom w:w="57" w:type="dxa"/>
            </w:tcMar>
            <w:vAlign w:val="center"/>
          </w:tcPr>
          <w:p w14:paraId="233A15A6">
            <w:pPr>
              <w:adjustRightInd w:val="0"/>
              <w:snapToGrid w:val="0"/>
              <w:rPr>
                <w:rFonts w:hint="eastAsia"/>
              </w:rPr>
            </w:pPr>
          </w:p>
        </w:tc>
        <w:tc>
          <w:tcPr>
            <w:tcW w:w="7698" w:type="dxa"/>
            <w:gridSpan w:val="3"/>
            <w:tcMar>
              <w:top w:w="57" w:type="dxa"/>
              <w:bottom w:w="57" w:type="dxa"/>
            </w:tcMar>
            <w:vAlign w:val="center"/>
          </w:tcPr>
          <w:p w14:paraId="065D46B1">
            <w:pPr>
              <w:adjustRightInd w:val="0"/>
              <w:snapToGrid w:val="0"/>
              <w:rPr>
                <w:rFonts w:hint="eastAsia"/>
              </w:rPr>
            </w:pPr>
            <w:r>
              <w:t>制定依据：与《高等职业学校办学条件监测指标（试行）》四18的指标值一致</w:t>
            </w:r>
          </w:p>
        </w:tc>
      </w:tr>
      <w:tr w14:paraId="2281AA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61EF81C6">
            <w:pPr>
              <w:adjustRightInd w:val="0"/>
              <w:snapToGrid w:val="0"/>
              <w:rPr>
                <w:rFonts w:hint="eastAsia"/>
              </w:rPr>
            </w:pPr>
          </w:p>
        </w:tc>
        <w:tc>
          <w:tcPr>
            <w:tcW w:w="1264" w:type="dxa"/>
            <w:vMerge w:val="continue"/>
            <w:tcMar>
              <w:top w:w="57" w:type="dxa"/>
              <w:bottom w:w="57" w:type="dxa"/>
            </w:tcMar>
            <w:vAlign w:val="center"/>
          </w:tcPr>
          <w:p w14:paraId="3C5263F8">
            <w:pPr>
              <w:adjustRightInd w:val="0"/>
              <w:snapToGrid w:val="0"/>
              <w:rPr>
                <w:rFonts w:hint="eastAsia"/>
              </w:rPr>
            </w:pPr>
          </w:p>
        </w:tc>
        <w:tc>
          <w:tcPr>
            <w:tcW w:w="2563" w:type="dxa"/>
            <w:tcMar>
              <w:top w:w="57" w:type="dxa"/>
              <w:bottom w:w="57" w:type="dxa"/>
            </w:tcMar>
            <w:vAlign w:val="center"/>
          </w:tcPr>
          <w:p w14:paraId="3FD1EF2B">
            <w:pPr>
              <w:adjustRightInd w:val="0"/>
              <w:snapToGrid w:val="0"/>
              <w:rPr>
                <w:rFonts w:hint="eastAsia"/>
              </w:rPr>
            </w:pPr>
            <w:r>
              <w:rPr>
                <w:rFonts w:hint="eastAsia"/>
              </w:rPr>
              <w:t>专业教师能贴近产业需求开展实践教学、面向企业提供技术服务</w:t>
            </w:r>
          </w:p>
        </w:tc>
        <w:tc>
          <w:tcPr>
            <w:tcW w:w="3830" w:type="dxa"/>
            <w:vAlign w:val="center"/>
          </w:tcPr>
          <w:p w14:paraId="73D128CC">
            <w:pPr>
              <w:adjustRightInd w:val="0"/>
              <w:snapToGrid w:val="0"/>
              <w:rPr>
                <w:rFonts w:hint="eastAsia"/>
              </w:rPr>
            </w:pPr>
            <w:r>
              <w:rPr>
                <w:rFonts w:hint="eastAsia"/>
              </w:rPr>
              <w:t>近五年专业教师面向企业提供技术服务统计材料，以及取得的技术服务成果材料</w:t>
            </w:r>
          </w:p>
        </w:tc>
        <w:tc>
          <w:tcPr>
            <w:tcW w:w="1305" w:type="dxa"/>
            <w:vAlign w:val="center"/>
          </w:tcPr>
          <w:p w14:paraId="3A1714B1">
            <w:pPr>
              <w:adjustRightInd w:val="0"/>
              <w:snapToGrid w:val="0"/>
              <w:ind w:firstLine="0" w:firstLineChars="0"/>
              <w:jc w:val="center"/>
              <w:rPr>
                <w:rFonts w:hint="eastAsia"/>
              </w:rPr>
            </w:pPr>
            <w:r>
              <w:t>证据判断法</w:t>
            </w:r>
          </w:p>
        </w:tc>
      </w:tr>
      <w:tr w14:paraId="187C77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63743FE2">
            <w:pPr>
              <w:adjustRightInd w:val="0"/>
              <w:snapToGrid w:val="0"/>
              <w:rPr>
                <w:rFonts w:hint="eastAsia"/>
              </w:rPr>
            </w:pPr>
          </w:p>
        </w:tc>
        <w:tc>
          <w:tcPr>
            <w:tcW w:w="1264" w:type="dxa"/>
            <w:vMerge w:val="continue"/>
            <w:tcMar>
              <w:top w:w="57" w:type="dxa"/>
              <w:bottom w:w="57" w:type="dxa"/>
            </w:tcMar>
            <w:vAlign w:val="center"/>
          </w:tcPr>
          <w:p w14:paraId="7DC3BFF4">
            <w:pPr>
              <w:adjustRightInd w:val="0"/>
              <w:snapToGrid w:val="0"/>
              <w:rPr>
                <w:rFonts w:hint="eastAsia"/>
              </w:rPr>
            </w:pPr>
          </w:p>
        </w:tc>
        <w:tc>
          <w:tcPr>
            <w:tcW w:w="7698" w:type="dxa"/>
            <w:gridSpan w:val="3"/>
            <w:tcMar>
              <w:top w:w="57" w:type="dxa"/>
              <w:bottom w:w="57" w:type="dxa"/>
            </w:tcMar>
            <w:vAlign w:val="center"/>
          </w:tcPr>
          <w:p w14:paraId="59A7E156">
            <w:pPr>
              <w:adjustRightInd w:val="0"/>
              <w:snapToGrid w:val="0"/>
              <w:rPr>
                <w:rFonts w:hint="eastAsia"/>
              </w:rPr>
            </w:pPr>
            <w:r>
              <w:t>制定依据：与中共中央办公厅 国务院办公厅《关于推动现代职业教育高质量发展的意见》（2021年，国务院）四（十）的要求符合</w:t>
            </w:r>
          </w:p>
        </w:tc>
      </w:tr>
      <w:tr w14:paraId="79835E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restart"/>
            <w:tcMar>
              <w:top w:w="57" w:type="dxa"/>
              <w:bottom w:w="57" w:type="dxa"/>
            </w:tcMar>
            <w:vAlign w:val="center"/>
          </w:tcPr>
          <w:p w14:paraId="79F14E78">
            <w:pPr>
              <w:adjustRightInd w:val="0"/>
              <w:snapToGrid w:val="0"/>
              <w:ind w:firstLine="0" w:firstLineChars="0"/>
              <w:jc w:val="center"/>
              <w:rPr>
                <w:rFonts w:hint="eastAsia"/>
              </w:rPr>
            </w:pPr>
            <w:r>
              <w:t>8校企合作</w:t>
            </w:r>
          </w:p>
        </w:tc>
        <w:tc>
          <w:tcPr>
            <w:tcW w:w="1264" w:type="dxa"/>
            <w:vMerge w:val="restart"/>
            <w:tcMar>
              <w:top w:w="57" w:type="dxa"/>
              <w:bottom w:w="57" w:type="dxa"/>
            </w:tcMar>
            <w:vAlign w:val="center"/>
          </w:tcPr>
          <w:p w14:paraId="395C5CBC">
            <w:pPr>
              <w:adjustRightInd w:val="0"/>
              <w:snapToGrid w:val="0"/>
              <w:ind w:firstLine="0" w:firstLineChars="0"/>
              <w:jc w:val="center"/>
              <w:rPr>
                <w:rFonts w:hint="eastAsia"/>
              </w:rPr>
            </w:pPr>
            <w:r>
              <w:t>8.1合作平台</w:t>
            </w:r>
          </w:p>
        </w:tc>
        <w:tc>
          <w:tcPr>
            <w:tcW w:w="2563" w:type="dxa"/>
            <w:tcMar>
              <w:top w:w="57" w:type="dxa"/>
              <w:bottom w:w="57" w:type="dxa"/>
            </w:tcMar>
            <w:vAlign w:val="center"/>
          </w:tcPr>
          <w:p w14:paraId="275E7DFA">
            <w:pPr>
              <w:pStyle w:val="30"/>
              <w:snapToGrid w:val="0"/>
              <w:spacing w:line="240" w:lineRule="auto"/>
              <w:rPr>
                <w:b w:val="0"/>
                <w:bCs/>
              </w:rPr>
            </w:pPr>
            <w:r>
              <w:rPr>
                <w:rFonts w:hint="eastAsia"/>
                <w:b w:val="0"/>
                <w:bCs/>
              </w:rPr>
              <w:t>专业具有与合作方共同出资、共同运行的合作平台，平台能支撑专业建设和人才培养</w:t>
            </w:r>
          </w:p>
        </w:tc>
        <w:tc>
          <w:tcPr>
            <w:tcW w:w="3830" w:type="dxa"/>
            <w:vAlign w:val="center"/>
          </w:tcPr>
          <w:p w14:paraId="6F13A5F3">
            <w:pPr>
              <w:pStyle w:val="30"/>
              <w:snapToGrid w:val="0"/>
              <w:spacing w:line="240" w:lineRule="auto"/>
              <w:rPr>
                <w:b w:val="0"/>
                <w:bCs/>
              </w:rPr>
            </w:pPr>
            <w:r>
              <w:rPr>
                <w:rFonts w:hint="eastAsia"/>
                <w:b w:val="0"/>
                <w:bCs/>
              </w:rPr>
              <w:t>专业建有的校企合作平台汇总文件以及平台运行情况记录</w:t>
            </w:r>
          </w:p>
          <w:p w14:paraId="5FD25C14">
            <w:pPr>
              <w:pStyle w:val="30"/>
              <w:snapToGrid w:val="0"/>
              <w:spacing w:line="240" w:lineRule="auto"/>
              <w:rPr>
                <w:b w:val="0"/>
                <w:bCs/>
              </w:rPr>
            </w:pPr>
            <w:r>
              <w:rPr>
                <w:rFonts w:hint="eastAsia"/>
                <w:b w:val="0"/>
                <w:bCs/>
              </w:rPr>
              <w:t>专业通过校企合作平台为企业提供有效服务、引入企业人才培养资源的成果材料</w:t>
            </w:r>
          </w:p>
        </w:tc>
        <w:tc>
          <w:tcPr>
            <w:tcW w:w="1305" w:type="dxa"/>
            <w:vAlign w:val="center"/>
          </w:tcPr>
          <w:p w14:paraId="24234E66">
            <w:pPr>
              <w:adjustRightInd w:val="0"/>
              <w:snapToGrid w:val="0"/>
              <w:ind w:firstLine="0" w:firstLineChars="0"/>
              <w:jc w:val="center"/>
              <w:rPr>
                <w:rFonts w:hint="eastAsia"/>
              </w:rPr>
            </w:pPr>
            <w:r>
              <w:t>证据判断法</w:t>
            </w:r>
          </w:p>
        </w:tc>
      </w:tr>
      <w:tr w14:paraId="0BEB95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FCB0884">
            <w:pPr>
              <w:adjustRightInd w:val="0"/>
              <w:snapToGrid w:val="0"/>
              <w:rPr>
                <w:rFonts w:hint="eastAsia"/>
              </w:rPr>
            </w:pPr>
          </w:p>
        </w:tc>
        <w:tc>
          <w:tcPr>
            <w:tcW w:w="1264" w:type="dxa"/>
            <w:vMerge w:val="continue"/>
            <w:tcMar>
              <w:top w:w="57" w:type="dxa"/>
              <w:bottom w:w="57" w:type="dxa"/>
            </w:tcMar>
            <w:vAlign w:val="center"/>
          </w:tcPr>
          <w:p w14:paraId="6B128658">
            <w:pPr>
              <w:adjustRightInd w:val="0"/>
              <w:snapToGrid w:val="0"/>
              <w:rPr>
                <w:rFonts w:hint="eastAsia"/>
              </w:rPr>
            </w:pPr>
          </w:p>
        </w:tc>
        <w:tc>
          <w:tcPr>
            <w:tcW w:w="7698" w:type="dxa"/>
            <w:gridSpan w:val="3"/>
            <w:tcMar>
              <w:top w:w="57" w:type="dxa"/>
              <w:bottom w:w="57" w:type="dxa"/>
            </w:tcMar>
            <w:vAlign w:val="center"/>
          </w:tcPr>
          <w:p w14:paraId="40B8C85E">
            <w:pPr>
              <w:adjustRightInd w:val="0"/>
              <w:snapToGrid w:val="0"/>
              <w:rPr>
                <w:rFonts w:hint="eastAsia"/>
              </w:rPr>
            </w:pPr>
            <w:r>
              <w:t>制定依据：与中共中央办公厅 国务院办公厅《关于推动现代职业教育高质量发展的意见》（2021年，国务院）四（十）、（十一）、（十二）的要求符合</w:t>
            </w:r>
          </w:p>
        </w:tc>
      </w:tr>
      <w:tr w14:paraId="1EE455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67CB1B3C">
            <w:pPr>
              <w:adjustRightInd w:val="0"/>
              <w:snapToGrid w:val="0"/>
              <w:rPr>
                <w:rFonts w:hint="eastAsia"/>
              </w:rPr>
            </w:pPr>
          </w:p>
        </w:tc>
        <w:tc>
          <w:tcPr>
            <w:tcW w:w="1264" w:type="dxa"/>
            <w:vMerge w:val="restart"/>
            <w:tcMar>
              <w:top w:w="57" w:type="dxa"/>
              <w:bottom w:w="57" w:type="dxa"/>
            </w:tcMar>
            <w:vAlign w:val="center"/>
          </w:tcPr>
          <w:p w14:paraId="75E0C774">
            <w:pPr>
              <w:adjustRightInd w:val="0"/>
              <w:snapToGrid w:val="0"/>
              <w:ind w:firstLine="0" w:firstLineChars="0"/>
              <w:jc w:val="center"/>
              <w:rPr>
                <w:rFonts w:hint="eastAsia"/>
              </w:rPr>
            </w:pPr>
            <w:r>
              <w:t>8.2合作机制</w:t>
            </w:r>
          </w:p>
        </w:tc>
        <w:tc>
          <w:tcPr>
            <w:tcW w:w="2563" w:type="dxa"/>
            <w:tcMar>
              <w:top w:w="57" w:type="dxa"/>
              <w:bottom w:w="57" w:type="dxa"/>
            </w:tcMar>
            <w:vAlign w:val="center"/>
          </w:tcPr>
          <w:p w14:paraId="4B50943E">
            <w:pPr>
              <w:pStyle w:val="30"/>
              <w:snapToGrid w:val="0"/>
              <w:spacing w:line="240" w:lineRule="auto"/>
              <w:rPr>
                <w:b w:val="0"/>
                <w:bCs/>
              </w:rPr>
            </w:pPr>
            <w:r>
              <w:rPr>
                <w:rFonts w:hint="eastAsia"/>
                <w:b w:val="0"/>
                <w:bCs/>
              </w:rPr>
              <w:t>专业与</w:t>
            </w:r>
            <w:r>
              <w:rPr>
                <w:b w:val="0"/>
                <w:bCs/>
              </w:rPr>
              <w:t>3家</w:t>
            </w:r>
            <w:r>
              <w:rPr>
                <w:rFonts w:hint="eastAsia"/>
                <w:b w:val="0"/>
                <w:bCs/>
              </w:rPr>
              <w:t>或</w:t>
            </w:r>
            <w:r>
              <w:rPr>
                <w:b w:val="0"/>
                <w:bCs/>
              </w:rPr>
              <w:t>以上业界优势企业</w:t>
            </w:r>
            <w:r>
              <w:rPr>
                <w:rFonts w:hint="eastAsia"/>
                <w:b w:val="0"/>
                <w:bCs/>
              </w:rPr>
              <w:t>建立</w:t>
            </w:r>
            <w:r>
              <w:rPr>
                <w:b w:val="0"/>
                <w:bCs/>
              </w:rPr>
              <w:t>紧密</w:t>
            </w:r>
            <w:r>
              <w:rPr>
                <w:rFonts w:hint="eastAsia"/>
                <w:b w:val="0"/>
                <w:bCs/>
              </w:rPr>
              <w:t>校企</w:t>
            </w:r>
            <w:r>
              <w:rPr>
                <w:b w:val="0"/>
                <w:bCs/>
              </w:rPr>
              <w:t>合作</w:t>
            </w:r>
            <w:r>
              <w:rPr>
                <w:rFonts w:hint="eastAsia"/>
                <w:b w:val="0"/>
                <w:bCs/>
              </w:rPr>
              <w:t>关系</w:t>
            </w:r>
          </w:p>
        </w:tc>
        <w:tc>
          <w:tcPr>
            <w:tcW w:w="3830" w:type="dxa"/>
            <w:vAlign w:val="center"/>
          </w:tcPr>
          <w:p w14:paraId="6D53E5F6">
            <w:pPr>
              <w:pStyle w:val="30"/>
              <w:snapToGrid w:val="0"/>
              <w:spacing w:line="240" w:lineRule="auto"/>
              <w:rPr>
                <w:b w:val="0"/>
                <w:bCs/>
              </w:rPr>
            </w:pPr>
            <w:r>
              <w:rPr>
                <w:rFonts w:hint="eastAsia"/>
                <w:b w:val="0"/>
                <w:bCs/>
              </w:rPr>
              <w:t>近三年与合作企业签署的合作教学项目协议</w:t>
            </w:r>
          </w:p>
          <w:p w14:paraId="46AA0D98">
            <w:pPr>
              <w:pStyle w:val="30"/>
              <w:snapToGrid w:val="0"/>
              <w:spacing w:line="240" w:lineRule="auto"/>
              <w:rPr>
                <w:b w:val="0"/>
                <w:bCs/>
              </w:rPr>
            </w:pPr>
            <w:r>
              <w:rPr>
                <w:rFonts w:hint="eastAsia"/>
                <w:b w:val="0"/>
                <w:bCs/>
              </w:rPr>
              <w:t>近三年合作企业提供的学生实习、教师下厂的具体岗位</w:t>
            </w:r>
          </w:p>
          <w:p w14:paraId="04D86A8C">
            <w:pPr>
              <w:pStyle w:val="30"/>
              <w:snapToGrid w:val="0"/>
              <w:spacing w:line="240" w:lineRule="auto"/>
              <w:rPr>
                <w:b w:val="0"/>
                <w:bCs/>
              </w:rPr>
            </w:pPr>
            <w:r>
              <w:rPr>
                <w:rFonts w:hint="eastAsia"/>
                <w:b w:val="0"/>
                <w:bCs/>
              </w:rPr>
              <w:t>近三年校企双方签署的、针对具体合作教学项目的</w:t>
            </w:r>
            <w:r>
              <w:rPr>
                <w:b w:val="0"/>
                <w:bCs/>
              </w:rPr>
              <w:t>教师、企业专家互聘协议</w:t>
            </w:r>
          </w:p>
        </w:tc>
        <w:tc>
          <w:tcPr>
            <w:tcW w:w="1305" w:type="dxa"/>
            <w:vAlign w:val="center"/>
          </w:tcPr>
          <w:p w14:paraId="7D7C26AA">
            <w:pPr>
              <w:adjustRightInd w:val="0"/>
              <w:snapToGrid w:val="0"/>
              <w:ind w:firstLine="0" w:firstLineChars="0"/>
              <w:jc w:val="center"/>
              <w:rPr>
                <w:rFonts w:hint="eastAsia"/>
              </w:rPr>
            </w:pPr>
            <w:r>
              <w:t>证据判断法</w:t>
            </w:r>
          </w:p>
        </w:tc>
      </w:tr>
      <w:tr w14:paraId="750C75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8B4A294">
            <w:pPr>
              <w:adjustRightInd w:val="0"/>
              <w:snapToGrid w:val="0"/>
              <w:rPr>
                <w:rFonts w:hint="eastAsia"/>
              </w:rPr>
            </w:pPr>
          </w:p>
        </w:tc>
        <w:tc>
          <w:tcPr>
            <w:tcW w:w="1264" w:type="dxa"/>
            <w:vMerge w:val="continue"/>
            <w:tcMar>
              <w:top w:w="57" w:type="dxa"/>
              <w:bottom w:w="57" w:type="dxa"/>
            </w:tcMar>
            <w:vAlign w:val="center"/>
          </w:tcPr>
          <w:p w14:paraId="04CDD2FF">
            <w:pPr>
              <w:adjustRightInd w:val="0"/>
              <w:snapToGrid w:val="0"/>
              <w:rPr>
                <w:rFonts w:hint="eastAsia"/>
              </w:rPr>
            </w:pPr>
          </w:p>
        </w:tc>
        <w:tc>
          <w:tcPr>
            <w:tcW w:w="7698" w:type="dxa"/>
            <w:gridSpan w:val="3"/>
            <w:tcMar>
              <w:top w:w="57" w:type="dxa"/>
              <w:bottom w:w="57" w:type="dxa"/>
            </w:tcMar>
            <w:vAlign w:val="center"/>
          </w:tcPr>
          <w:p w14:paraId="67244232">
            <w:pPr>
              <w:adjustRightInd w:val="0"/>
              <w:snapToGrid w:val="0"/>
              <w:rPr>
                <w:rFonts w:hint="eastAsia"/>
              </w:rPr>
            </w:pPr>
            <w:r>
              <w:t>制定依据：与机械行业机械设计制造、工程材料技术、机电设备、自动化等高职专业类别调研结论一致</w:t>
            </w:r>
          </w:p>
        </w:tc>
      </w:tr>
      <w:tr w14:paraId="6AA12B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7A13A416">
            <w:pPr>
              <w:adjustRightInd w:val="0"/>
              <w:snapToGrid w:val="0"/>
              <w:rPr>
                <w:rFonts w:hint="eastAsia"/>
              </w:rPr>
            </w:pPr>
          </w:p>
        </w:tc>
        <w:tc>
          <w:tcPr>
            <w:tcW w:w="1264" w:type="dxa"/>
            <w:vMerge w:val="restart"/>
            <w:tcMar>
              <w:top w:w="57" w:type="dxa"/>
              <w:bottom w:w="57" w:type="dxa"/>
            </w:tcMar>
            <w:vAlign w:val="center"/>
          </w:tcPr>
          <w:p w14:paraId="5E8ACE5C">
            <w:pPr>
              <w:adjustRightInd w:val="0"/>
              <w:snapToGrid w:val="0"/>
              <w:ind w:firstLine="0" w:firstLineChars="0"/>
              <w:jc w:val="center"/>
              <w:rPr>
                <w:rFonts w:hint="eastAsia"/>
              </w:rPr>
            </w:pPr>
            <w:r>
              <w:t>8.3合作成效</w:t>
            </w:r>
          </w:p>
        </w:tc>
        <w:tc>
          <w:tcPr>
            <w:tcW w:w="2563" w:type="dxa"/>
            <w:tcMar>
              <w:top w:w="57" w:type="dxa"/>
              <w:bottom w:w="57" w:type="dxa"/>
            </w:tcMar>
            <w:vAlign w:val="center"/>
          </w:tcPr>
          <w:p w14:paraId="0E1B8EB2">
            <w:pPr>
              <w:pStyle w:val="30"/>
              <w:snapToGrid w:val="0"/>
              <w:spacing w:line="240" w:lineRule="auto"/>
              <w:rPr>
                <w:b w:val="0"/>
                <w:bCs/>
              </w:rPr>
            </w:pPr>
            <w:r>
              <w:rPr>
                <w:rFonts w:hint="eastAsia"/>
                <w:b w:val="0"/>
                <w:bCs/>
              </w:rPr>
              <w:t>校企合作贯穿于专业建设和人才培养全过程并取得实质性成效</w:t>
            </w:r>
          </w:p>
        </w:tc>
        <w:tc>
          <w:tcPr>
            <w:tcW w:w="3830" w:type="dxa"/>
            <w:vAlign w:val="center"/>
          </w:tcPr>
          <w:p w14:paraId="523DEC06">
            <w:pPr>
              <w:pStyle w:val="30"/>
              <w:snapToGrid w:val="0"/>
              <w:spacing w:line="240" w:lineRule="auto"/>
              <w:rPr>
                <w:b w:val="0"/>
                <w:bCs/>
              </w:rPr>
            </w:pPr>
            <w:r>
              <w:rPr>
                <w:rFonts w:hint="eastAsia"/>
                <w:b w:val="0"/>
                <w:bCs/>
              </w:rPr>
              <w:t>近三年企业专家承担参与人才培养方案、课程标准（课程教学大纲）、教材开发和合作教学项目任务的凭据</w:t>
            </w:r>
          </w:p>
          <w:p w14:paraId="2C948636">
            <w:pPr>
              <w:pStyle w:val="30"/>
              <w:snapToGrid w:val="0"/>
              <w:spacing w:line="240" w:lineRule="auto"/>
              <w:rPr>
                <w:b w:val="0"/>
                <w:bCs/>
              </w:rPr>
            </w:pPr>
            <w:r>
              <w:rPr>
                <w:rFonts w:hint="eastAsia"/>
                <w:b w:val="0"/>
                <w:bCs/>
              </w:rPr>
              <w:t>近三年专业为合作企业提</w:t>
            </w:r>
            <w:r>
              <w:rPr>
                <w:rFonts w:hint="eastAsia"/>
                <w:b w:val="0"/>
                <w:bCs/>
                <w:color w:val="000000" w:themeColor="text1"/>
                <w14:textFill>
                  <w14:solidFill>
                    <w14:schemeClr w14:val="tx1"/>
                  </w14:solidFill>
                </w14:textFill>
              </w:rPr>
              <w:t>供技术服务或</w:t>
            </w:r>
            <w:r>
              <w:rPr>
                <w:rFonts w:hint="eastAsia"/>
                <w:b w:val="0"/>
                <w:bCs/>
              </w:rPr>
              <w:t>员工培训项目协议及其执行记录</w:t>
            </w:r>
          </w:p>
          <w:p w14:paraId="58ED8BE6">
            <w:pPr>
              <w:pStyle w:val="30"/>
              <w:snapToGrid w:val="0"/>
              <w:spacing w:line="240" w:lineRule="auto"/>
              <w:rPr>
                <w:b w:val="0"/>
                <w:bCs/>
              </w:rPr>
            </w:pPr>
            <w:r>
              <w:rPr>
                <w:rFonts w:hint="eastAsia"/>
                <w:b w:val="0"/>
                <w:bCs/>
              </w:rPr>
              <w:t>近三年毕业生到合作企业就业的统计分析材料</w:t>
            </w:r>
          </w:p>
        </w:tc>
        <w:tc>
          <w:tcPr>
            <w:tcW w:w="1305" w:type="dxa"/>
            <w:vAlign w:val="center"/>
          </w:tcPr>
          <w:p w14:paraId="2C1CDEEE">
            <w:pPr>
              <w:adjustRightInd w:val="0"/>
              <w:snapToGrid w:val="0"/>
              <w:ind w:firstLine="0" w:firstLineChars="0"/>
              <w:jc w:val="center"/>
              <w:rPr>
                <w:rFonts w:hint="eastAsia"/>
              </w:rPr>
            </w:pPr>
            <w:r>
              <w:t>证据判断法</w:t>
            </w:r>
          </w:p>
        </w:tc>
      </w:tr>
      <w:tr w14:paraId="0437C2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4405FBF7">
            <w:pPr>
              <w:adjustRightInd w:val="0"/>
              <w:snapToGrid w:val="0"/>
              <w:rPr>
                <w:rFonts w:hint="eastAsia"/>
              </w:rPr>
            </w:pPr>
          </w:p>
        </w:tc>
        <w:tc>
          <w:tcPr>
            <w:tcW w:w="1264" w:type="dxa"/>
            <w:vMerge w:val="continue"/>
            <w:tcMar>
              <w:top w:w="57" w:type="dxa"/>
              <w:bottom w:w="57" w:type="dxa"/>
            </w:tcMar>
            <w:vAlign w:val="center"/>
          </w:tcPr>
          <w:p w14:paraId="349FFCE9">
            <w:pPr>
              <w:adjustRightInd w:val="0"/>
              <w:snapToGrid w:val="0"/>
              <w:rPr>
                <w:rFonts w:hint="eastAsia"/>
              </w:rPr>
            </w:pPr>
          </w:p>
        </w:tc>
        <w:tc>
          <w:tcPr>
            <w:tcW w:w="7698" w:type="dxa"/>
            <w:gridSpan w:val="3"/>
            <w:tcMar>
              <w:top w:w="57" w:type="dxa"/>
              <w:bottom w:w="57" w:type="dxa"/>
            </w:tcMar>
            <w:vAlign w:val="center"/>
          </w:tcPr>
          <w:p w14:paraId="78B649BD">
            <w:pPr>
              <w:adjustRightInd w:val="0"/>
              <w:snapToGrid w:val="0"/>
              <w:rPr>
                <w:rFonts w:hint="eastAsia"/>
              </w:rPr>
            </w:pPr>
            <w:r>
              <w:t>制定依据：与《职业教育提质培优行动计划》（2020年）二（四）11条款符合</w:t>
            </w:r>
          </w:p>
        </w:tc>
      </w:tr>
      <w:tr w14:paraId="1B0F38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restart"/>
            <w:tcMar>
              <w:top w:w="57" w:type="dxa"/>
              <w:bottom w:w="57" w:type="dxa"/>
            </w:tcMar>
            <w:vAlign w:val="center"/>
          </w:tcPr>
          <w:p w14:paraId="6A281012">
            <w:pPr>
              <w:adjustRightInd w:val="0"/>
              <w:snapToGrid w:val="0"/>
              <w:ind w:firstLine="0" w:firstLineChars="0"/>
              <w:jc w:val="center"/>
              <w:rPr>
                <w:rFonts w:hint="eastAsia"/>
              </w:rPr>
            </w:pPr>
            <w:r>
              <w:rPr>
                <w:rFonts w:hint="eastAsia"/>
              </w:rPr>
              <w:t>9</w:t>
            </w:r>
            <w:r>
              <w:t>支持条件</w:t>
            </w:r>
          </w:p>
        </w:tc>
        <w:tc>
          <w:tcPr>
            <w:tcW w:w="1264" w:type="dxa"/>
            <w:vMerge w:val="restart"/>
            <w:tcMar>
              <w:top w:w="57" w:type="dxa"/>
              <w:bottom w:w="57" w:type="dxa"/>
            </w:tcMar>
            <w:vAlign w:val="center"/>
          </w:tcPr>
          <w:p w14:paraId="1DFD7BC7">
            <w:pPr>
              <w:adjustRightInd w:val="0"/>
              <w:snapToGrid w:val="0"/>
              <w:ind w:firstLine="0" w:firstLineChars="0"/>
              <w:jc w:val="center"/>
              <w:rPr>
                <w:rFonts w:hint="eastAsia"/>
              </w:rPr>
            </w:pPr>
            <w:r>
              <w:t>9.1教学设施</w:t>
            </w:r>
          </w:p>
        </w:tc>
        <w:tc>
          <w:tcPr>
            <w:tcW w:w="2563" w:type="dxa"/>
            <w:tcMar>
              <w:top w:w="57" w:type="dxa"/>
              <w:bottom w:w="57" w:type="dxa"/>
            </w:tcMar>
            <w:vAlign w:val="center"/>
          </w:tcPr>
          <w:p w14:paraId="208230BA">
            <w:pPr>
              <w:adjustRightInd w:val="0"/>
              <w:snapToGrid w:val="0"/>
              <w:rPr>
                <w:rFonts w:hint="eastAsia"/>
              </w:rPr>
            </w:pPr>
            <w:r>
              <w:rPr>
                <w:rFonts w:hint="eastAsia"/>
              </w:rPr>
              <w:t>专业建有“金工、电工电子、机械零件与产品测绘、公差配合与测量、材料组织与性能检测、液压与气压传动、程序设计与控制、传感器应用”等领域内3个或以上基础性实验实训室</w:t>
            </w:r>
          </w:p>
        </w:tc>
        <w:tc>
          <w:tcPr>
            <w:tcW w:w="3830" w:type="dxa"/>
            <w:vAlign w:val="center"/>
          </w:tcPr>
          <w:p w14:paraId="3D940239">
            <w:pPr>
              <w:adjustRightInd w:val="0"/>
              <w:snapToGrid w:val="0"/>
              <w:rPr>
                <w:rFonts w:hint="eastAsia"/>
              </w:rPr>
            </w:pPr>
            <w:r>
              <w:rPr>
                <w:rFonts w:hint="eastAsia"/>
              </w:rPr>
              <w:t>近三年专业实验实训室配置和使用的统计汇总材料</w:t>
            </w:r>
          </w:p>
        </w:tc>
        <w:tc>
          <w:tcPr>
            <w:tcW w:w="1305" w:type="dxa"/>
            <w:vAlign w:val="center"/>
          </w:tcPr>
          <w:p w14:paraId="72261673">
            <w:pPr>
              <w:adjustRightInd w:val="0"/>
              <w:snapToGrid w:val="0"/>
              <w:ind w:firstLine="0" w:firstLineChars="0"/>
              <w:jc w:val="center"/>
              <w:rPr>
                <w:rFonts w:hint="eastAsia"/>
              </w:rPr>
            </w:pPr>
            <w:r>
              <w:t>统计数据法</w:t>
            </w:r>
          </w:p>
          <w:p w14:paraId="3A384080">
            <w:pPr>
              <w:adjustRightInd w:val="0"/>
              <w:snapToGrid w:val="0"/>
              <w:ind w:firstLine="0" w:firstLineChars="0"/>
              <w:jc w:val="center"/>
              <w:rPr>
                <w:rFonts w:hint="eastAsia"/>
              </w:rPr>
            </w:pPr>
            <w:r>
              <w:t>证据判断法</w:t>
            </w:r>
          </w:p>
        </w:tc>
      </w:tr>
      <w:tr w14:paraId="599A61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2011E2E">
            <w:pPr>
              <w:adjustRightInd w:val="0"/>
              <w:snapToGrid w:val="0"/>
              <w:rPr>
                <w:rFonts w:hint="eastAsia"/>
              </w:rPr>
            </w:pPr>
          </w:p>
        </w:tc>
        <w:tc>
          <w:tcPr>
            <w:tcW w:w="1264" w:type="dxa"/>
            <w:vMerge w:val="continue"/>
            <w:tcMar>
              <w:top w:w="57" w:type="dxa"/>
              <w:bottom w:w="57" w:type="dxa"/>
            </w:tcMar>
            <w:vAlign w:val="center"/>
          </w:tcPr>
          <w:p w14:paraId="6FEF8AEC">
            <w:pPr>
              <w:adjustRightInd w:val="0"/>
              <w:snapToGrid w:val="0"/>
              <w:rPr>
                <w:rFonts w:hint="eastAsia"/>
              </w:rPr>
            </w:pPr>
          </w:p>
        </w:tc>
        <w:tc>
          <w:tcPr>
            <w:tcW w:w="7698" w:type="dxa"/>
            <w:gridSpan w:val="3"/>
            <w:tcMar>
              <w:top w:w="57" w:type="dxa"/>
              <w:bottom w:w="57" w:type="dxa"/>
            </w:tcMar>
            <w:vAlign w:val="center"/>
          </w:tcPr>
          <w:p w14:paraId="53B17320">
            <w:pPr>
              <w:adjustRightInd w:val="0"/>
              <w:snapToGrid w:val="0"/>
              <w:rPr>
                <w:rFonts w:hint="eastAsia"/>
              </w:rPr>
            </w:pPr>
            <w:r>
              <w:t>制定依据：与《教育部职业教育专业教学标准-2025修（制）订》中机械设计制造、工程材料技术、机电设备、自动化等高职专业类的要求符合</w:t>
            </w:r>
          </w:p>
        </w:tc>
      </w:tr>
      <w:tr w14:paraId="19013A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12AD7503">
            <w:pPr>
              <w:adjustRightInd w:val="0"/>
              <w:snapToGrid w:val="0"/>
              <w:rPr>
                <w:rFonts w:hint="eastAsia"/>
              </w:rPr>
            </w:pPr>
          </w:p>
        </w:tc>
        <w:tc>
          <w:tcPr>
            <w:tcW w:w="1264" w:type="dxa"/>
            <w:vMerge w:val="continue"/>
            <w:tcMar>
              <w:top w:w="57" w:type="dxa"/>
              <w:bottom w:w="57" w:type="dxa"/>
            </w:tcMar>
            <w:vAlign w:val="center"/>
          </w:tcPr>
          <w:p w14:paraId="236EA89E">
            <w:pPr>
              <w:adjustRightInd w:val="0"/>
              <w:snapToGrid w:val="0"/>
              <w:rPr>
                <w:rFonts w:hint="eastAsia"/>
              </w:rPr>
            </w:pPr>
          </w:p>
        </w:tc>
        <w:tc>
          <w:tcPr>
            <w:tcW w:w="2563" w:type="dxa"/>
            <w:tcMar>
              <w:top w:w="57" w:type="dxa"/>
              <w:bottom w:w="57" w:type="dxa"/>
            </w:tcMar>
            <w:vAlign w:val="center"/>
          </w:tcPr>
          <w:p w14:paraId="67477589">
            <w:pPr>
              <w:adjustRightInd w:val="0"/>
              <w:snapToGrid w:val="0"/>
              <w:rPr>
                <w:rFonts w:hint="eastAsia"/>
              </w:rPr>
            </w:pPr>
            <w:r>
              <w:rPr>
                <w:rFonts w:hint="eastAsia"/>
              </w:rPr>
              <w:t>专业生均教学行政用房不低于16平方米/生</w:t>
            </w:r>
          </w:p>
        </w:tc>
        <w:tc>
          <w:tcPr>
            <w:tcW w:w="3830" w:type="dxa"/>
            <w:vAlign w:val="center"/>
          </w:tcPr>
          <w:p w14:paraId="3B74F531">
            <w:pPr>
              <w:adjustRightInd w:val="0"/>
              <w:snapToGrid w:val="0"/>
              <w:rPr>
                <w:rFonts w:hint="eastAsia"/>
              </w:rPr>
            </w:pPr>
            <w:r>
              <w:rPr>
                <w:rFonts w:hint="eastAsia"/>
              </w:rPr>
              <w:t>近三年专业生均教学行政用房统计汇总材料</w:t>
            </w:r>
          </w:p>
        </w:tc>
        <w:tc>
          <w:tcPr>
            <w:tcW w:w="1305" w:type="dxa"/>
            <w:vAlign w:val="center"/>
          </w:tcPr>
          <w:p w14:paraId="10EF2C46">
            <w:pPr>
              <w:adjustRightInd w:val="0"/>
              <w:snapToGrid w:val="0"/>
              <w:ind w:firstLine="0" w:firstLineChars="0"/>
              <w:jc w:val="center"/>
              <w:rPr>
                <w:rFonts w:hint="eastAsia"/>
              </w:rPr>
            </w:pPr>
            <w:r>
              <w:t>统计数据法</w:t>
            </w:r>
          </w:p>
          <w:p w14:paraId="42823A3E">
            <w:pPr>
              <w:adjustRightInd w:val="0"/>
              <w:snapToGrid w:val="0"/>
              <w:ind w:firstLine="0" w:firstLineChars="0"/>
              <w:jc w:val="center"/>
              <w:rPr>
                <w:rFonts w:hint="eastAsia"/>
              </w:rPr>
            </w:pPr>
            <w:r>
              <w:t>证据判断法</w:t>
            </w:r>
          </w:p>
        </w:tc>
      </w:tr>
      <w:tr w14:paraId="4DA46D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5F3EB791">
            <w:pPr>
              <w:adjustRightInd w:val="0"/>
              <w:snapToGrid w:val="0"/>
              <w:rPr>
                <w:rFonts w:hint="eastAsia"/>
              </w:rPr>
            </w:pPr>
          </w:p>
        </w:tc>
        <w:tc>
          <w:tcPr>
            <w:tcW w:w="1264" w:type="dxa"/>
            <w:vMerge w:val="continue"/>
            <w:tcMar>
              <w:top w:w="57" w:type="dxa"/>
              <w:bottom w:w="57" w:type="dxa"/>
            </w:tcMar>
            <w:vAlign w:val="center"/>
          </w:tcPr>
          <w:p w14:paraId="0415203A">
            <w:pPr>
              <w:adjustRightInd w:val="0"/>
              <w:snapToGrid w:val="0"/>
              <w:rPr>
                <w:rFonts w:hint="eastAsia"/>
              </w:rPr>
            </w:pPr>
          </w:p>
        </w:tc>
        <w:tc>
          <w:tcPr>
            <w:tcW w:w="7698" w:type="dxa"/>
            <w:gridSpan w:val="3"/>
            <w:tcMar>
              <w:top w:w="57" w:type="dxa"/>
              <w:bottom w:w="57" w:type="dxa"/>
            </w:tcMar>
            <w:vAlign w:val="center"/>
          </w:tcPr>
          <w:p w14:paraId="39820FC9">
            <w:pPr>
              <w:adjustRightInd w:val="0"/>
              <w:snapToGrid w:val="0"/>
              <w:rPr>
                <w:rFonts w:hint="eastAsia"/>
              </w:rPr>
            </w:pPr>
            <w:r>
              <w:t>制定依据：与《高等职业学校办学条件监测指标（试行）》五3（3）指标一致</w:t>
            </w:r>
          </w:p>
        </w:tc>
      </w:tr>
      <w:tr w14:paraId="1BC066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7FB8665">
            <w:pPr>
              <w:adjustRightInd w:val="0"/>
              <w:snapToGrid w:val="0"/>
              <w:rPr>
                <w:rFonts w:hint="eastAsia"/>
              </w:rPr>
            </w:pPr>
          </w:p>
        </w:tc>
        <w:tc>
          <w:tcPr>
            <w:tcW w:w="1264" w:type="dxa"/>
            <w:vMerge w:val="continue"/>
            <w:tcMar>
              <w:top w:w="57" w:type="dxa"/>
              <w:bottom w:w="57" w:type="dxa"/>
            </w:tcMar>
            <w:vAlign w:val="center"/>
          </w:tcPr>
          <w:p w14:paraId="475FB0C0">
            <w:pPr>
              <w:adjustRightInd w:val="0"/>
              <w:snapToGrid w:val="0"/>
              <w:rPr>
                <w:rFonts w:hint="eastAsia"/>
              </w:rPr>
            </w:pPr>
          </w:p>
        </w:tc>
        <w:tc>
          <w:tcPr>
            <w:tcW w:w="2563" w:type="dxa"/>
            <w:tcMar>
              <w:top w:w="57" w:type="dxa"/>
              <w:bottom w:w="57" w:type="dxa"/>
            </w:tcMar>
            <w:vAlign w:val="center"/>
          </w:tcPr>
          <w:p w14:paraId="3D0C8A58">
            <w:pPr>
              <w:adjustRightInd w:val="0"/>
              <w:snapToGrid w:val="0"/>
              <w:rPr>
                <w:rFonts w:hint="eastAsia"/>
              </w:rPr>
            </w:pPr>
            <w:r>
              <w:rPr>
                <w:rFonts w:hint="eastAsia"/>
              </w:rPr>
              <w:t>专业生均教学科研仪器设备值不低于8000元/生</w:t>
            </w:r>
          </w:p>
        </w:tc>
        <w:tc>
          <w:tcPr>
            <w:tcW w:w="3830" w:type="dxa"/>
            <w:vAlign w:val="center"/>
          </w:tcPr>
          <w:p w14:paraId="25242E95">
            <w:pPr>
              <w:adjustRightInd w:val="0"/>
              <w:snapToGrid w:val="0"/>
              <w:rPr>
                <w:rFonts w:hint="eastAsia"/>
              </w:rPr>
            </w:pPr>
            <w:r>
              <w:rPr>
                <w:rFonts w:hint="eastAsia"/>
              </w:rPr>
              <w:t>近三年专业生均教学科研仪器设备值统计汇总材料</w:t>
            </w:r>
          </w:p>
        </w:tc>
        <w:tc>
          <w:tcPr>
            <w:tcW w:w="1305" w:type="dxa"/>
            <w:vAlign w:val="center"/>
          </w:tcPr>
          <w:p w14:paraId="781BD115">
            <w:pPr>
              <w:adjustRightInd w:val="0"/>
              <w:snapToGrid w:val="0"/>
              <w:ind w:firstLine="0" w:firstLineChars="0"/>
              <w:jc w:val="center"/>
              <w:rPr>
                <w:rFonts w:hint="eastAsia"/>
              </w:rPr>
            </w:pPr>
            <w:r>
              <w:t>统计数据法</w:t>
            </w:r>
          </w:p>
          <w:p w14:paraId="5E31135B">
            <w:pPr>
              <w:adjustRightInd w:val="0"/>
              <w:snapToGrid w:val="0"/>
              <w:ind w:firstLine="0" w:firstLineChars="0"/>
              <w:jc w:val="center"/>
              <w:rPr>
                <w:rFonts w:hint="eastAsia"/>
              </w:rPr>
            </w:pPr>
            <w:r>
              <w:t>证据判断法</w:t>
            </w:r>
          </w:p>
        </w:tc>
      </w:tr>
      <w:tr w14:paraId="047253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F213C17">
            <w:pPr>
              <w:adjustRightInd w:val="0"/>
              <w:snapToGrid w:val="0"/>
              <w:rPr>
                <w:rFonts w:hint="eastAsia"/>
              </w:rPr>
            </w:pPr>
          </w:p>
        </w:tc>
        <w:tc>
          <w:tcPr>
            <w:tcW w:w="1264" w:type="dxa"/>
            <w:vMerge w:val="continue"/>
            <w:tcMar>
              <w:top w:w="57" w:type="dxa"/>
              <w:bottom w:w="57" w:type="dxa"/>
            </w:tcMar>
            <w:vAlign w:val="center"/>
          </w:tcPr>
          <w:p w14:paraId="790B06F5">
            <w:pPr>
              <w:adjustRightInd w:val="0"/>
              <w:snapToGrid w:val="0"/>
              <w:rPr>
                <w:rFonts w:hint="eastAsia"/>
              </w:rPr>
            </w:pPr>
          </w:p>
        </w:tc>
        <w:tc>
          <w:tcPr>
            <w:tcW w:w="7698" w:type="dxa"/>
            <w:gridSpan w:val="3"/>
            <w:tcMar>
              <w:top w:w="57" w:type="dxa"/>
              <w:bottom w:w="57" w:type="dxa"/>
            </w:tcMar>
            <w:vAlign w:val="center"/>
          </w:tcPr>
          <w:p w14:paraId="3716E595">
            <w:pPr>
              <w:adjustRightInd w:val="0"/>
              <w:snapToGrid w:val="0"/>
              <w:rPr>
                <w:rFonts w:hint="eastAsia"/>
              </w:rPr>
            </w:pPr>
            <w:r>
              <w:t>制定依据：高于《高等职业学校办学条件监测指标（试行）》五6的标准值，与机械行业机械设计制造、工程材料技术、机电设备、自动化等高职专业类别调研统计均值一致</w:t>
            </w:r>
          </w:p>
        </w:tc>
      </w:tr>
      <w:tr w14:paraId="6DB5B5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0F1B5F1">
            <w:pPr>
              <w:adjustRightInd w:val="0"/>
              <w:snapToGrid w:val="0"/>
              <w:rPr>
                <w:rFonts w:hint="eastAsia"/>
              </w:rPr>
            </w:pPr>
          </w:p>
        </w:tc>
        <w:tc>
          <w:tcPr>
            <w:tcW w:w="1264" w:type="dxa"/>
            <w:vMerge w:val="restart"/>
            <w:tcMar>
              <w:top w:w="57" w:type="dxa"/>
              <w:bottom w:w="57" w:type="dxa"/>
            </w:tcMar>
            <w:vAlign w:val="center"/>
          </w:tcPr>
          <w:p w14:paraId="43DDAEA6">
            <w:pPr>
              <w:adjustRightInd w:val="0"/>
              <w:snapToGrid w:val="0"/>
              <w:ind w:firstLine="0" w:firstLineChars="0"/>
              <w:jc w:val="center"/>
              <w:rPr>
                <w:rFonts w:hint="eastAsia"/>
              </w:rPr>
            </w:pPr>
            <w:r>
              <w:t>9.2实践基地</w:t>
            </w:r>
          </w:p>
        </w:tc>
        <w:tc>
          <w:tcPr>
            <w:tcW w:w="2563" w:type="dxa"/>
            <w:tcMar>
              <w:top w:w="57" w:type="dxa"/>
              <w:bottom w:w="57" w:type="dxa"/>
            </w:tcMar>
            <w:vAlign w:val="center"/>
          </w:tcPr>
          <w:p w14:paraId="2A81F6D0">
            <w:pPr>
              <w:pStyle w:val="30"/>
              <w:snapToGrid w:val="0"/>
              <w:spacing w:line="240" w:lineRule="auto"/>
              <w:rPr>
                <w:b w:val="0"/>
                <w:bCs/>
              </w:rPr>
            </w:pPr>
            <w:r>
              <w:rPr>
                <w:rFonts w:hint="eastAsia"/>
                <w:b w:val="0"/>
                <w:bCs/>
              </w:rPr>
              <w:t>校内外实践基地运行状态良好，其功能、实践工位数能支持学生专业能力和职业综合素质的培养要求</w:t>
            </w:r>
          </w:p>
        </w:tc>
        <w:tc>
          <w:tcPr>
            <w:tcW w:w="3830" w:type="dxa"/>
            <w:vAlign w:val="center"/>
          </w:tcPr>
          <w:p w14:paraId="56E6619A">
            <w:pPr>
              <w:pStyle w:val="30"/>
              <w:snapToGrid w:val="0"/>
              <w:spacing w:line="240" w:lineRule="auto"/>
              <w:rPr>
                <w:b w:val="0"/>
                <w:bCs/>
              </w:rPr>
            </w:pPr>
            <w:r>
              <w:rPr>
                <w:rFonts w:hint="eastAsia"/>
                <w:b w:val="0"/>
                <w:bCs/>
              </w:rPr>
              <w:t>近三年校内外实践基地的功能与实践工位数汇总分析材料</w:t>
            </w:r>
          </w:p>
          <w:p w14:paraId="5F3B3B31">
            <w:pPr>
              <w:pStyle w:val="30"/>
              <w:snapToGrid w:val="0"/>
              <w:spacing w:line="240" w:lineRule="auto"/>
              <w:rPr>
                <w:b w:val="0"/>
                <w:bCs/>
              </w:rPr>
            </w:pPr>
            <w:r>
              <w:rPr>
                <w:rFonts w:hint="eastAsia"/>
                <w:b w:val="0"/>
                <w:bCs/>
              </w:rPr>
              <w:t>近三年校内外实践基地承接的合作教学项目及其学生习得的学习成果汇总分析材料</w:t>
            </w:r>
          </w:p>
        </w:tc>
        <w:tc>
          <w:tcPr>
            <w:tcW w:w="1305" w:type="dxa"/>
            <w:vAlign w:val="center"/>
          </w:tcPr>
          <w:p w14:paraId="7E5AB65E">
            <w:pPr>
              <w:adjustRightInd w:val="0"/>
              <w:snapToGrid w:val="0"/>
              <w:ind w:firstLine="0" w:firstLineChars="0"/>
              <w:jc w:val="center"/>
              <w:rPr>
                <w:rFonts w:hint="eastAsia"/>
              </w:rPr>
            </w:pPr>
            <w:r>
              <w:t>统计数据法</w:t>
            </w:r>
          </w:p>
          <w:p w14:paraId="79131FBE">
            <w:pPr>
              <w:adjustRightInd w:val="0"/>
              <w:snapToGrid w:val="0"/>
              <w:ind w:firstLine="0" w:firstLineChars="0"/>
              <w:jc w:val="center"/>
              <w:rPr>
                <w:rFonts w:hint="eastAsia"/>
              </w:rPr>
            </w:pPr>
            <w:r>
              <w:t>证据判断法</w:t>
            </w:r>
          </w:p>
        </w:tc>
      </w:tr>
      <w:tr w14:paraId="297D3F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6F1159AE">
            <w:pPr>
              <w:adjustRightInd w:val="0"/>
              <w:snapToGrid w:val="0"/>
              <w:rPr>
                <w:rFonts w:hint="eastAsia"/>
              </w:rPr>
            </w:pPr>
          </w:p>
        </w:tc>
        <w:tc>
          <w:tcPr>
            <w:tcW w:w="1264" w:type="dxa"/>
            <w:vMerge w:val="continue"/>
            <w:tcMar>
              <w:top w:w="57" w:type="dxa"/>
              <w:bottom w:w="57" w:type="dxa"/>
            </w:tcMar>
            <w:vAlign w:val="center"/>
          </w:tcPr>
          <w:p w14:paraId="07AA498C">
            <w:pPr>
              <w:adjustRightInd w:val="0"/>
              <w:snapToGrid w:val="0"/>
              <w:rPr>
                <w:rFonts w:hint="eastAsia"/>
              </w:rPr>
            </w:pPr>
          </w:p>
        </w:tc>
        <w:tc>
          <w:tcPr>
            <w:tcW w:w="7698" w:type="dxa"/>
            <w:gridSpan w:val="3"/>
            <w:tcMar>
              <w:top w:w="57" w:type="dxa"/>
              <w:bottom w:w="57" w:type="dxa"/>
            </w:tcMar>
            <w:vAlign w:val="center"/>
          </w:tcPr>
          <w:p w14:paraId="2AD4318A">
            <w:pPr>
              <w:adjustRightInd w:val="0"/>
              <w:snapToGrid w:val="0"/>
              <w:rPr>
                <w:rFonts w:hint="eastAsia"/>
              </w:rPr>
            </w:pPr>
            <w:r>
              <w:t>制定依据：符合《中华人民共和国职业教育法》（2022年修订）第五十条规定</w:t>
            </w:r>
          </w:p>
        </w:tc>
      </w:tr>
      <w:tr w14:paraId="5492CC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44E76C05">
            <w:pPr>
              <w:adjustRightInd w:val="0"/>
              <w:snapToGrid w:val="0"/>
              <w:rPr>
                <w:rFonts w:hint="eastAsia"/>
              </w:rPr>
            </w:pPr>
          </w:p>
        </w:tc>
        <w:tc>
          <w:tcPr>
            <w:tcW w:w="1264" w:type="dxa"/>
            <w:vMerge w:val="restart"/>
            <w:tcMar>
              <w:top w:w="57" w:type="dxa"/>
              <w:bottom w:w="57" w:type="dxa"/>
            </w:tcMar>
            <w:vAlign w:val="center"/>
          </w:tcPr>
          <w:p w14:paraId="7D27E769">
            <w:pPr>
              <w:adjustRightInd w:val="0"/>
              <w:snapToGrid w:val="0"/>
              <w:ind w:firstLine="0" w:firstLineChars="0"/>
              <w:jc w:val="center"/>
              <w:rPr>
                <w:rFonts w:hint="eastAsia"/>
              </w:rPr>
            </w:pPr>
            <w:r>
              <w:t>9.3图书资源</w:t>
            </w:r>
          </w:p>
        </w:tc>
        <w:tc>
          <w:tcPr>
            <w:tcW w:w="2563" w:type="dxa"/>
            <w:tcMar>
              <w:top w:w="57" w:type="dxa"/>
              <w:bottom w:w="57" w:type="dxa"/>
            </w:tcMar>
            <w:vAlign w:val="center"/>
          </w:tcPr>
          <w:p w14:paraId="7EE5A10D">
            <w:pPr>
              <w:pStyle w:val="30"/>
              <w:snapToGrid w:val="0"/>
              <w:spacing w:line="240" w:lineRule="auto"/>
              <w:rPr>
                <w:b w:val="0"/>
                <w:bCs/>
              </w:rPr>
            </w:pPr>
            <w:r>
              <w:rPr>
                <w:rFonts w:hint="eastAsia"/>
                <w:b w:val="0"/>
                <w:bCs/>
              </w:rPr>
              <w:t>专业生均图书不低于</w:t>
            </w:r>
            <w:r>
              <w:rPr>
                <w:b w:val="0"/>
                <w:bCs/>
              </w:rPr>
              <w:t>60</w:t>
            </w:r>
            <w:r>
              <w:rPr>
                <w:rFonts w:hint="eastAsia"/>
                <w:b w:val="0"/>
                <w:bCs/>
              </w:rPr>
              <w:t>册</w:t>
            </w:r>
            <w:r>
              <w:rPr>
                <w:b w:val="0"/>
                <w:bCs/>
              </w:rPr>
              <w:t>/</w:t>
            </w:r>
            <w:r>
              <w:rPr>
                <w:rFonts w:hint="eastAsia"/>
                <w:b w:val="0"/>
                <w:bCs/>
              </w:rPr>
              <w:t>生</w:t>
            </w:r>
          </w:p>
        </w:tc>
        <w:tc>
          <w:tcPr>
            <w:tcW w:w="3830" w:type="dxa"/>
            <w:vAlign w:val="center"/>
          </w:tcPr>
          <w:p w14:paraId="4A605DF1">
            <w:pPr>
              <w:pStyle w:val="30"/>
              <w:snapToGrid w:val="0"/>
              <w:spacing w:line="240" w:lineRule="auto"/>
              <w:rPr>
                <w:b w:val="0"/>
                <w:bCs/>
              </w:rPr>
            </w:pPr>
            <w:r>
              <w:rPr>
                <w:rFonts w:hint="eastAsia"/>
                <w:b w:val="0"/>
                <w:bCs/>
              </w:rPr>
              <w:t>近三年专业生均图书册数统计分析材料</w:t>
            </w:r>
          </w:p>
        </w:tc>
        <w:tc>
          <w:tcPr>
            <w:tcW w:w="1305" w:type="dxa"/>
            <w:vAlign w:val="center"/>
          </w:tcPr>
          <w:p w14:paraId="6E00C7E1">
            <w:pPr>
              <w:adjustRightInd w:val="0"/>
              <w:snapToGrid w:val="0"/>
              <w:ind w:firstLine="0" w:firstLineChars="0"/>
              <w:jc w:val="center"/>
              <w:rPr>
                <w:rFonts w:hint="eastAsia"/>
              </w:rPr>
            </w:pPr>
            <w:r>
              <w:t>统计数据法</w:t>
            </w:r>
          </w:p>
          <w:p w14:paraId="2F010112">
            <w:pPr>
              <w:adjustRightInd w:val="0"/>
              <w:snapToGrid w:val="0"/>
              <w:ind w:firstLine="0" w:firstLineChars="0"/>
              <w:jc w:val="center"/>
              <w:rPr>
                <w:rFonts w:hint="eastAsia"/>
              </w:rPr>
            </w:pPr>
            <w:r>
              <w:t>证据判断法</w:t>
            </w:r>
          </w:p>
        </w:tc>
      </w:tr>
      <w:tr w14:paraId="4B87D0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1EC03193">
            <w:pPr>
              <w:adjustRightInd w:val="0"/>
              <w:snapToGrid w:val="0"/>
              <w:rPr>
                <w:rFonts w:hint="eastAsia"/>
              </w:rPr>
            </w:pPr>
          </w:p>
        </w:tc>
        <w:tc>
          <w:tcPr>
            <w:tcW w:w="1264" w:type="dxa"/>
            <w:vMerge w:val="continue"/>
            <w:tcMar>
              <w:top w:w="57" w:type="dxa"/>
              <w:bottom w:w="57" w:type="dxa"/>
            </w:tcMar>
            <w:vAlign w:val="center"/>
          </w:tcPr>
          <w:p w14:paraId="4E3A9105">
            <w:pPr>
              <w:adjustRightInd w:val="0"/>
              <w:snapToGrid w:val="0"/>
              <w:rPr>
                <w:rFonts w:hint="eastAsia"/>
              </w:rPr>
            </w:pPr>
          </w:p>
        </w:tc>
        <w:tc>
          <w:tcPr>
            <w:tcW w:w="7698" w:type="dxa"/>
            <w:gridSpan w:val="3"/>
            <w:tcMar>
              <w:top w:w="57" w:type="dxa"/>
              <w:bottom w:w="57" w:type="dxa"/>
            </w:tcMar>
            <w:vAlign w:val="center"/>
          </w:tcPr>
          <w:p w14:paraId="37DA44A2">
            <w:pPr>
              <w:adjustRightInd w:val="0"/>
              <w:snapToGrid w:val="0"/>
              <w:rPr>
                <w:rFonts w:hint="eastAsia"/>
              </w:rPr>
            </w:pPr>
            <w:r>
              <w:t>制定依据：与《高等职业学校办学条件监测指标（试行）》五4的标准值一致</w:t>
            </w:r>
          </w:p>
        </w:tc>
      </w:tr>
      <w:tr w14:paraId="34B003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344AE3BC">
            <w:pPr>
              <w:adjustRightInd w:val="0"/>
              <w:snapToGrid w:val="0"/>
              <w:rPr>
                <w:rFonts w:hint="eastAsia"/>
              </w:rPr>
            </w:pPr>
          </w:p>
        </w:tc>
        <w:tc>
          <w:tcPr>
            <w:tcW w:w="1264" w:type="dxa"/>
            <w:vMerge w:val="restart"/>
            <w:tcMar>
              <w:top w:w="57" w:type="dxa"/>
              <w:bottom w:w="57" w:type="dxa"/>
            </w:tcMar>
            <w:vAlign w:val="center"/>
          </w:tcPr>
          <w:p w14:paraId="380F6768">
            <w:pPr>
              <w:adjustRightInd w:val="0"/>
              <w:snapToGrid w:val="0"/>
              <w:ind w:firstLine="0" w:firstLineChars="0"/>
              <w:jc w:val="center"/>
              <w:rPr>
                <w:rFonts w:hint="eastAsia"/>
              </w:rPr>
            </w:pPr>
            <w:r>
              <w:t>9</w:t>
            </w:r>
            <w:r>
              <w:rPr>
                <w:rFonts w:hint="eastAsia"/>
              </w:rPr>
              <w:t>.4</w:t>
            </w:r>
            <w:r>
              <w:t>信息化</w:t>
            </w:r>
          </w:p>
        </w:tc>
        <w:tc>
          <w:tcPr>
            <w:tcW w:w="2563" w:type="dxa"/>
            <w:tcMar>
              <w:top w:w="57" w:type="dxa"/>
              <w:bottom w:w="57" w:type="dxa"/>
            </w:tcMar>
            <w:vAlign w:val="center"/>
          </w:tcPr>
          <w:p w14:paraId="41FEDEE4">
            <w:pPr>
              <w:pStyle w:val="30"/>
              <w:snapToGrid w:val="0"/>
              <w:spacing w:line="240" w:lineRule="auto"/>
              <w:rPr>
                <w:b w:val="0"/>
                <w:bCs/>
              </w:rPr>
            </w:pPr>
            <w:r>
              <w:rPr>
                <w:rFonts w:hint="eastAsia"/>
                <w:b w:val="0"/>
                <w:bCs/>
              </w:rPr>
              <w:t>信息技术能支持线上线下混合式教学，能采集利用过程性数据进行教学工作诊断与改进</w:t>
            </w:r>
          </w:p>
        </w:tc>
        <w:tc>
          <w:tcPr>
            <w:tcW w:w="3830" w:type="dxa"/>
            <w:vAlign w:val="center"/>
          </w:tcPr>
          <w:p w14:paraId="69B9B00F">
            <w:pPr>
              <w:pStyle w:val="30"/>
              <w:snapToGrid w:val="0"/>
              <w:spacing w:line="240" w:lineRule="auto"/>
              <w:rPr>
                <w:b w:val="0"/>
                <w:bCs/>
              </w:rPr>
            </w:pPr>
            <w:r>
              <w:rPr>
                <w:rFonts w:hint="eastAsia"/>
                <w:b w:val="0"/>
                <w:bCs/>
              </w:rPr>
              <w:t>近三年专业课程在信息化教学平台的运行记录与数据分析</w:t>
            </w:r>
          </w:p>
          <w:p w14:paraId="13A42A7C">
            <w:pPr>
              <w:pStyle w:val="30"/>
              <w:snapToGrid w:val="0"/>
              <w:spacing w:line="240" w:lineRule="auto"/>
              <w:rPr>
                <w:b w:val="0"/>
                <w:bCs/>
              </w:rPr>
            </w:pPr>
            <w:r>
              <w:rPr>
                <w:rFonts w:hint="eastAsia"/>
                <w:b w:val="0"/>
                <w:bCs/>
              </w:rPr>
              <w:t>近三年依托信息化技术开展课程、专业诊断与改进工作的相关材料</w:t>
            </w:r>
          </w:p>
        </w:tc>
        <w:tc>
          <w:tcPr>
            <w:tcW w:w="1305" w:type="dxa"/>
            <w:vAlign w:val="center"/>
          </w:tcPr>
          <w:p w14:paraId="1BFE9444">
            <w:pPr>
              <w:adjustRightInd w:val="0"/>
              <w:snapToGrid w:val="0"/>
              <w:ind w:firstLine="0" w:firstLineChars="0"/>
              <w:jc w:val="center"/>
              <w:rPr>
                <w:rFonts w:hint="eastAsia"/>
              </w:rPr>
            </w:pPr>
            <w:r>
              <w:t>统计数据法</w:t>
            </w:r>
          </w:p>
          <w:p w14:paraId="108AB78B">
            <w:pPr>
              <w:adjustRightInd w:val="0"/>
              <w:snapToGrid w:val="0"/>
              <w:ind w:firstLine="0" w:firstLineChars="0"/>
              <w:jc w:val="center"/>
              <w:rPr>
                <w:rFonts w:hint="eastAsia"/>
              </w:rPr>
            </w:pPr>
            <w:r>
              <w:t>证据判断法</w:t>
            </w:r>
          </w:p>
        </w:tc>
      </w:tr>
      <w:tr w14:paraId="786303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 w:type="dxa"/>
            <w:vMerge w:val="continue"/>
            <w:tcMar>
              <w:top w:w="57" w:type="dxa"/>
              <w:bottom w:w="57" w:type="dxa"/>
            </w:tcMar>
            <w:vAlign w:val="center"/>
          </w:tcPr>
          <w:p w14:paraId="5F915A93">
            <w:pPr>
              <w:adjustRightInd w:val="0"/>
              <w:snapToGrid w:val="0"/>
              <w:rPr>
                <w:rFonts w:hint="eastAsia"/>
              </w:rPr>
            </w:pPr>
          </w:p>
        </w:tc>
        <w:tc>
          <w:tcPr>
            <w:tcW w:w="1264" w:type="dxa"/>
            <w:vMerge w:val="continue"/>
            <w:tcMar>
              <w:top w:w="57" w:type="dxa"/>
              <w:bottom w:w="57" w:type="dxa"/>
            </w:tcMar>
            <w:vAlign w:val="center"/>
          </w:tcPr>
          <w:p w14:paraId="664CAE10">
            <w:pPr>
              <w:adjustRightInd w:val="0"/>
              <w:snapToGrid w:val="0"/>
              <w:rPr>
                <w:rFonts w:hint="eastAsia"/>
              </w:rPr>
            </w:pPr>
          </w:p>
        </w:tc>
        <w:tc>
          <w:tcPr>
            <w:tcW w:w="7698" w:type="dxa"/>
            <w:gridSpan w:val="3"/>
            <w:tcMar>
              <w:top w:w="57" w:type="dxa"/>
              <w:bottom w:w="57" w:type="dxa"/>
            </w:tcMar>
            <w:vAlign w:val="center"/>
          </w:tcPr>
          <w:p w14:paraId="26BE94E6">
            <w:pPr>
              <w:adjustRightInd w:val="0"/>
              <w:snapToGrid w:val="0"/>
              <w:rPr>
                <w:rFonts w:hint="eastAsia"/>
              </w:rPr>
            </w:pPr>
            <w:r>
              <w:t>制定依据：与教育部印发的《教育信息化2.0行动计划》（2018年）的要求符合</w:t>
            </w:r>
          </w:p>
        </w:tc>
      </w:tr>
    </w:tbl>
    <w:p w14:paraId="0986B468">
      <w:pPr>
        <w:pStyle w:val="5"/>
      </w:pPr>
      <w:r>
        <w:rPr>
          <w:rFonts w:hint="eastAsia"/>
        </w:rPr>
        <w:t>3.2 机械设计制造类专业补充评价要求制定依据</w:t>
      </w:r>
    </w:p>
    <w:p w14:paraId="0FC3A492">
      <w:pPr>
        <w:adjustRightInd w:val="0"/>
        <w:snapToGrid w:val="0"/>
        <w:spacing w:line="360" w:lineRule="auto"/>
        <w:ind w:firstLine="420" w:firstLineChars="200"/>
        <w:rPr>
          <w:rFonts w:hint="eastAsia"/>
          <w:sz w:val="21"/>
          <w:szCs w:val="21"/>
        </w:rPr>
      </w:pPr>
      <w:r>
        <w:rPr>
          <w:rFonts w:hint="eastAsia"/>
          <w:sz w:val="21"/>
          <w:szCs w:val="21"/>
        </w:rPr>
        <w:t>机械设计制造类专业包括机械设计与制造（专业代码460101）、数字化设计与制造技术（专业代码460102）、数控技术（专业代码460103）、机械制造及自动化（专业代码460104）、增材制造技术（专业代码460112）、模具设计与制造（专业代码460113）、特种加工技术（专业代码460114）和机械装备制造技术（专业代码460118）8个专业，补充评价要求判定基准的制定依据见表2。</w:t>
      </w:r>
    </w:p>
    <w:p w14:paraId="5F8D1DA6">
      <w:pPr>
        <w:pStyle w:val="37"/>
        <w:numPr>
          <w:ilvl w:val="0"/>
          <w:numId w:val="1"/>
        </w:numPr>
        <w:tabs>
          <w:tab w:val="left" w:pos="0"/>
        </w:tabs>
        <w:adjustRightInd w:val="0"/>
        <w:snapToGrid w:val="0"/>
        <w:spacing w:before="156" w:after="156"/>
        <w:ind w:left="0"/>
        <w:rPr>
          <w:rFonts w:hint="eastAsia" w:hAnsi="黑体" w:cs="黑体"/>
          <w:color w:val="000000" w:themeColor="text1"/>
          <w:szCs w:val="21"/>
          <w14:textFill>
            <w14:solidFill>
              <w14:schemeClr w14:val="tx1"/>
            </w14:solidFill>
          </w14:textFill>
        </w:rPr>
      </w:pPr>
      <w:bookmarkStart w:id="2" w:name="_Toc190358612"/>
      <w:r>
        <w:rPr>
          <w:rFonts w:hint="eastAsia" w:hAnsi="黑体" w:cs="黑体"/>
          <w:color w:val="000000" w:themeColor="text1"/>
          <w:szCs w:val="21"/>
          <w14:textFill>
            <w14:solidFill>
              <w14:schemeClr w14:val="tx1"/>
            </w14:solidFill>
          </w14:textFill>
        </w:rPr>
        <w:t>机械设计制造类专业补充评价</w:t>
      </w:r>
      <w:bookmarkEnd w:id="2"/>
      <w:r>
        <w:rPr>
          <w:rFonts w:hint="eastAsia" w:hAnsi="黑体" w:cs="黑体"/>
          <w:color w:val="000000" w:themeColor="text1"/>
          <w:szCs w:val="21"/>
          <w14:textFill>
            <w14:solidFill>
              <w14:schemeClr w14:val="tx1"/>
            </w14:solidFill>
          </w14:textFill>
        </w:rPr>
        <w:t>要求制定依据</w:t>
      </w:r>
    </w:p>
    <w:tbl>
      <w:tblPr>
        <w:tblStyle w:val="19"/>
        <w:tblW w:w="989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1378"/>
        <w:gridCol w:w="2978"/>
        <w:gridCol w:w="3232"/>
        <w:gridCol w:w="1431"/>
      </w:tblGrid>
      <w:tr w14:paraId="6BE74E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79" w:type="dxa"/>
            <w:tcBorders>
              <w:top w:val="single" w:color="auto" w:sz="8"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43B75461">
            <w:pPr>
              <w:adjustRightInd w:val="0"/>
              <w:snapToGrid w:val="0"/>
              <w:ind w:firstLine="0" w:firstLineChars="0"/>
              <w:jc w:val="center"/>
              <w:rPr>
                <w:rFonts w:hint="eastAsia"/>
                <w:b/>
                <w:bCs/>
              </w:rPr>
            </w:pPr>
            <w:r>
              <w:rPr>
                <w:rFonts w:hint="eastAsia"/>
                <w:b/>
                <w:bCs/>
              </w:rPr>
              <w:t>一级</w:t>
            </w:r>
          </w:p>
          <w:p w14:paraId="6B2CD65E">
            <w:pPr>
              <w:adjustRightInd w:val="0"/>
              <w:snapToGrid w:val="0"/>
              <w:ind w:firstLine="0" w:firstLineChars="0"/>
              <w:jc w:val="center"/>
              <w:rPr>
                <w:rFonts w:hint="eastAsia"/>
                <w:b/>
                <w:bCs/>
              </w:rPr>
            </w:pPr>
            <w:r>
              <w:rPr>
                <w:rFonts w:hint="eastAsia"/>
                <w:b/>
                <w:bCs/>
              </w:rPr>
              <w:t>指标</w:t>
            </w:r>
          </w:p>
        </w:tc>
        <w:tc>
          <w:tcPr>
            <w:tcW w:w="1378"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3228B8C7">
            <w:pPr>
              <w:adjustRightInd w:val="0"/>
              <w:snapToGrid w:val="0"/>
              <w:ind w:firstLine="0" w:firstLineChars="0"/>
              <w:jc w:val="center"/>
              <w:rPr>
                <w:rFonts w:hint="eastAsia"/>
                <w:b/>
                <w:bCs/>
              </w:rPr>
            </w:pPr>
            <w:r>
              <w:rPr>
                <w:rFonts w:hint="eastAsia"/>
                <w:b/>
                <w:bCs/>
              </w:rPr>
              <w:t>二级指标</w:t>
            </w:r>
          </w:p>
        </w:tc>
        <w:tc>
          <w:tcPr>
            <w:tcW w:w="2978"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F458208">
            <w:pPr>
              <w:adjustRightInd w:val="0"/>
              <w:snapToGrid w:val="0"/>
              <w:ind w:firstLine="0" w:firstLineChars="0"/>
              <w:jc w:val="center"/>
              <w:rPr>
                <w:rFonts w:hint="eastAsia"/>
                <w:b/>
                <w:bCs/>
              </w:rPr>
            </w:pPr>
            <w:r>
              <w:rPr>
                <w:rFonts w:hint="eastAsia"/>
                <w:b/>
                <w:bCs/>
              </w:rPr>
              <w:t>判定基准</w:t>
            </w:r>
          </w:p>
        </w:tc>
        <w:tc>
          <w:tcPr>
            <w:tcW w:w="3232" w:type="dxa"/>
            <w:tcBorders>
              <w:top w:val="single" w:color="auto" w:sz="8" w:space="0"/>
              <w:left w:val="single" w:color="auto" w:sz="4" w:space="0"/>
              <w:bottom w:val="single" w:color="auto" w:sz="4" w:space="0"/>
              <w:right w:val="single" w:color="auto" w:sz="4" w:space="0"/>
            </w:tcBorders>
            <w:vAlign w:val="center"/>
          </w:tcPr>
          <w:p w14:paraId="089A61A6">
            <w:pPr>
              <w:adjustRightInd w:val="0"/>
              <w:snapToGrid w:val="0"/>
              <w:ind w:firstLine="0" w:firstLineChars="0"/>
              <w:jc w:val="center"/>
              <w:rPr>
                <w:rFonts w:hint="eastAsia"/>
                <w:b/>
                <w:bCs/>
              </w:rPr>
            </w:pPr>
            <w:r>
              <w:rPr>
                <w:rFonts w:hint="eastAsia"/>
                <w:b/>
                <w:bCs/>
              </w:rPr>
              <w:t>判定依据</w:t>
            </w:r>
          </w:p>
          <w:p w14:paraId="25A0D0A2">
            <w:pPr>
              <w:adjustRightInd w:val="0"/>
              <w:snapToGrid w:val="0"/>
              <w:ind w:firstLine="0" w:firstLineChars="0"/>
              <w:jc w:val="center"/>
              <w:rPr>
                <w:rFonts w:hint="eastAsia"/>
                <w:b/>
                <w:bCs/>
              </w:rPr>
            </w:pPr>
            <w:r>
              <w:rPr>
                <w:rFonts w:hint="eastAsia"/>
                <w:b/>
                <w:bCs/>
              </w:rPr>
              <w:t>（包含但不限于）</w:t>
            </w:r>
          </w:p>
        </w:tc>
        <w:tc>
          <w:tcPr>
            <w:tcW w:w="1431" w:type="dxa"/>
            <w:tcBorders>
              <w:top w:val="single" w:color="auto" w:sz="8" w:space="0"/>
              <w:left w:val="single" w:color="auto" w:sz="4" w:space="0"/>
              <w:bottom w:val="single" w:color="auto" w:sz="4" w:space="0"/>
              <w:right w:val="single" w:color="auto" w:sz="8" w:space="0"/>
            </w:tcBorders>
            <w:vAlign w:val="center"/>
          </w:tcPr>
          <w:p w14:paraId="25709A97">
            <w:pPr>
              <w:adjustRightInd w:val="0"/>
              <w:snapToGrid w:val="0"/>
              <w:ind w:firstLine="0" w:firstLineChars="0"/>
              <w:jc w:val="center"/>
              <w:rPr>
                <w:rFonts w:hint="eastAsia"/>
                <w:b/>
                <w:bCs/>
              </w:rPr>
            </w:pPr>
            <w:r>
              <w:rPr>
                <w:rFonts w:hint="eastAsia"/>
                <w:b/>
                <w:bCs/>
              </w:rPr>
              <w:t>评价方法</w:t>
            </w:r>
          </w:p>
        </w:tc>
      </w:tr>
      <w:tr w14:paraId="578E5D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9" w:type="dxa"/>
            <w:vMerge w:val="restart"/>
            <w:tcBorders>
              <w:top w:val="single" w:color="auto" w:sz="4" w:space="0"/>
              <w:left w:val="single" w:color="auto" w:sz="8" w:space="0"/>
              <w:right w:val="single" w:color="auto" w:sz="4" w:space="0"/>
            </w:tcBorders>
            <w:tcMar>
              <w:top w:w="57" w:type="dxa"/>
              <w:left w:w="108" w:type="dxa"/>
              <w:bottom w:w="57" w:type="dxa"/>
              <w:right w:w="108" w:type="dxa"/>
            </w:tcMar>
            <w:vAlign w:val="center"/>
          </w:tcPr>
          <w:p w14:paraId="23ACEF1A">
            <w:pPr>
              <w:adjustRightInd w:val="0"/>
              <w:snapToGrid w:val="0"/>
              <w:ind w:firstLine="0" w:firstLineChars="0"/>
              <w:jc w:val="center"/>
              <w:rPr>
                <w:rFonts w:hint="eastAsia"/>
              </w:rPr>
            </w:pPr>
            <w:r>
              <w:rPr>
                <w:rFonts w:hint="eastAsia"/>
              </w:rPr>
              <w:t>4 课程体系</w:t>
            </w:r>
          </w:p>
        </w:tc>
        <w:tc>
          <w:tcPr>
            <w:tcW w:w="1378"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3C5D8B64">
            <w:pPr>
              <w:adjustRightInd w:val="0"/>
              <w:snapToGrid w:val="0"/>
              <w:ind w:firstLine="0" w:firstLineChars="0"/>
              <w:jc w:val="center"/>
              <w:rPr>
                <w:rFonts w:hint="eastAsia"/>
              </w:rPr>
            </w:pPr>
            <w:r>
              <w:rPr>
                <w:rFonts w:hint="eastAsia"/>
              </w:rPr>
              <w:t>4.5专业基础知识领域</w:t>
            </w:r>
          </w:p>
        </w:tc>
        <w:tc>
          <w:tcPr>
            <w:tcW w:w="297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BB95816">
            <w:pPr>
              <w:pStyle w:val="30"/>
              <w:snapToGrid w:val="0"/>
              <w:spacing w:line="240" w:lineRule="auto"/>
              <w:rPr>
                <w:b w:val="0"/>
                <w:bCs/>
              </w:rPr>
            </w:pPr>
            <w:r>
              <w:rPr>
                <w:rFonts w:hint="eastAsia"/>
                <w:b w:val="0"/>
                <w:bCs/>
              </w:rPr>
              <w:t>在机械制图、工程力学、机械设计基础、机械制造基础、工程材料与热加工、电工电子技术、公差配合与测量技术、液压与气动等专业基础知识领域内开设不少于4门专业基础课程，在专业特色服务面向的基础知识领域内开设1门专业基础课程</w:t>
            </w:r>
          </w:p>
        </w:tc>
        <w:tc>
          <w:tcPr>
            <w:tcW w:w="3232" w:type="dxa"/>
            <w:tcBorders>
              <w:top w:val="single" w:color="auto" w:sz="4" w:space="0"/>
              <w:left w:val="single" w:color="auto" w:sz="4" w:space="0"/>
              <w:bottom w:val="single" w:color="auto" w:sz="4" w:space="0"/>
              <w:right w:val="single" w:color="auto" w:sz="4" w:space="0"/>
            </w:tcBorders>
            <w:vAlign w:val="center"/>
          </w:tcPr>
          <w:p w14:paraId="40753F40">
            <w:pPr>
              <w:pStyle w:val="30"/>
              <w:snapToGrid w:val="0"/>
              <w:spacing w:line="240" w:lineRule="auto"/>
              <w:rPr>
                <w:b w:val="0"/>
                <w:bCs/>
              </w:rPr>
            </w:pPr>
            <w:r>
              <w:rPr>
                <w:rFonts w:hint="eastAsia"/>
                <w:b w:val="0"/>
                <w:bCs/>
              </w:rPr>
              <w:t>在机械制图、工程力学、机械设计基础、机械制造基础、工程材料与热加工、电工电子技术、公差配合与测量技术、液压与气动等专业基础知识领域内开设的专业基础课程数的统计和审核材料</w:t>
            </w:r>
          </w:p>
          <w:p w14:paraId="6D084C72">
            <w:pPr>
              <w:pStyle w:val="30"/>
              <w:snapToGrid w:val="0"/>
              <w:spacing w:line="240" w:lineRule="auto"/>
              <w:rPr>
                <w:b w:val="0"/>
                <w:bCs/>
              </w:rPr>
            </w:pPr>
            <w:r>
              <w:rPr>
                <w:rFonts w:hint="eastAsia"/>
                <w:b w:val="0"/>
                <w:bCs/>
              </w:rPr>
              <w:t>在专业特色服务面向的基础知识领域内开设的专业基础课程数的统计和审核材料</w:t>
            </w:r>
          </w:p>
        </w:tc>
        <w:tc>
          <w:tcPr>
            <w:tcW w:w="1431" w:type="dxa"/>
            <w:tcBorders>
              <w:top w:val="single" w:color="auto" w:sz="4" w:space="0"/>
              <w:left w:val="single" w:color="auto" w:sz="4" w:space="0"/>
              <w:bottom w:val="single" w:color="auto" w:sz="4" w:space="0"/>
              <w:right w:val="single" w:color="auto" w:sz="8" w:space="0"/>
            </w:tcBorders>
            <w:vAlign w:val="center"/>
          </w:tcPr>
          <w:p w14:paraId="72699537">
            <w:pPr>
              <w:adjustRightInd w:val="0"/>
              <w:snapToGrid w:val="0"/>
              <w:ind w:firstLine="0" w:firstLineChars="0"/>
              <w:jc w:val="center"/>
              <w:rPr>
                <w:rFonts w:hint="eastAsia"/>
              </w:rPr>
            </w:pPr>
            <w:r>
              <w:rPr>
                <w:rFonts w:hint="eastAsia"/>
              </w:rPr>
              <w:t>证据判断法</w:t>
            </w:r>
          </w:p>
        </w:tc>
      </w:tr>
      <w:tr w14:paraId="12F0AE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9" w:type="dxa"/>
            <w:vMerge w:val="continue"/>
            <w:tcBorders>
              <w:left w:val="single" w:color="auto" w:sz="8" w:space="0"/>
              <w:right w:val="single" w:color="auto" w:sz="4" w:space="0"/>
            </w:tcBorders>
            <w:tcMar>
              <w:top w:w="57" w:type="dxa"/>
              <w:left w:w="108" w:type="dxa"/>
              <w:bottom w:w="57" w:type="dxa"/>
              <w:right w:w="108" w:type="dxa"/>
            </w:tcMar>
            <w:vAlign w:val="center"/>
          </w:tcPr>
          <w:p w14:paraId="0B95E372">
            <w:pPr>
              <w:adjustRightInd w:val="0"/>
              <w:snapToGrid w:val="0"/>
              <w:ind w:firstLine="0" w:firstLineChars="0"/>
              <w:jc w:val="center"/>
              <w:rPr>
                <w:rFonts w:hint="eastAsia"/>
              </w:rPr>
            </w:pPr>
          </w:p>
        </w:tc>
        <w:tc>
          <w:tcPr>
            <w:tcW w:w="1378"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104346B6">
            <w:pPr>
              <w:adjustRightInd w:val="0"/>
              <w:snapToGrid w:val="0"/>
              <w:ind w:firstLine="0" w:firstLineChars="0"/>
              <w:jc w:val="center"/>
              <w:rPr>
                <w:rFonts w:hint="eastAsia"/>
              </w:rPr>
            </w:pPr>
          </w:p>
        </w:tc>
        <w:tc>
          <w:tcPr>
            <w:tcW w:w="7641"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7FFC73BA">
            <w:pPr>
              <w:adjustRightInd w:val="0"/>
              <w:snapToGrid w:val="0"/>
              <w:rPr>
                <w:rFonts w:hint="eastAsia"/>
              </w:rPr>
            </w:pPr>
            <w:r>
              <w:rPr>
                <w:rFonts w:hint="eastAsia"/>
              </w:rPr>
              <w:t>制定依据：与《教育部职业教育专业教学标准-2025修（制）订》机械设计制造类专业要求符合</w:t>
            </w:r>
          </w:p>
        </w:tc>
      </w:tr>
      <w:tr w14:paraId="618802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9" w:type="dxa"/>
            <w:vMerge w:val="continue"/>
            <w:tcBorders>
              <w:left w:val="single" w:color="auto" w:sz="8" w:space="0"/>
              <w:right w:val="single" w:color="auto" w:sz="4" w:space="0"/>
            </w:tcBorders>
            <w:vAlign w:val="center"/>
          </w:tcPr>
          <w:p w14:paraId="36741D82">
            <w:pPr>
              <w:adjustRightInd w:val="0"/>
              <w:snapToGrid w:val="0"/>
              <w:ind w:firstLine="0" w:firstLineChars="0"/>
              <w:jc w:val="center"/>
              <w:rPr>
                <w:rFonts w:hint="eastAsia"/>
              </w:rPr>
            </w:pPr>
          </w:p>
        </w:tc>
        <w:tc>
          <w:tcPr>
            <w:tcW w:w="1378"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1F9CC26B">
            <w:pPr>
              <w:adjustRightInd w:val="0"/>
              <w:snapToGrid w:val="0"/>
              <w:ind w:firstLine="0" w:firstLineChars="0"/>
              <w:jc w:val="center"/>
              <w:rPr>
                <w:rFonts w:hint="eastAsia"/>
              </w:rPr>
            </w:pPr>
            <w:r>
              <w:rPr>
                <w:rFonts w:hint="eastAsia"/>
              </w:rPr>
              <w:t>4.6专业技能训练项目</w:t>
            </w:r>
          </w:p>
        </w:tc>
        <w:tc>
          <w:tcPr>
            <w:tcW w:w="297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BDB5391">
            <w:pPr>
              <w:pStyle w:val="30"/>
              <w:snapToGrid w:val="0"/>
              <w:spacing w:line="240" w:lineRule="auto"/>
              <w:rPr>
                <w:b w:val="0"/>
                <w:bCs/>
              </w:rPr>
            </w:pPr>
            <w:r>
              <w:rPr>
                <w:rFonts w:hint="eastAsia"/>
                <w:b w:val="0"/>
                <w:bCs/>
              </w:rPr>
              <w:t>在钳、车、铣、磨、铸、锻、焊、热处理、数字制图等专业基础技能训练领域内开设3项或以上基础技能训练项目</w:t>
            </w:r>
          </w:p>
        </w:tc>
        <w:tc>
          <w:tcPr>
            <w:tcW w:w="3232" w:type="dxa"/>
            <w:tcBorders>
              <w:top w:val="single" w:color="auto" w:sz="4" w:space="0"/>
              <w:left w:val="single" w:color="auto" w:sz="4" w:space="0"/>
              <w:bottom w:val="single" w:color="auto" w:sz="4" w:space="0"/>
              <w:right w:val="single" w:color="auto" w:sz="4" w:space="0"/>
            </w:tcBorders>
            <w:vAlign w:val="center"/>
          </w:tcPr>
          <w:p w14:paraId="0821D392">
            <w:pPr>
              <w:pStyle w:val="30"/>
              <w:snapToGrid w:val="0"/>
              <w:spacing w:line="240" w:lineRule="auto"/>
              <w:rPr>
                <w:b w:val="0"/>
                <w:bCs/>
              </w:rPr>
            </w:pPr>
            <w:r>
              <w:rPr>
                <w:rFonts w:hint="eastAsia"/>
                <w:b w:val="0"/>
                <w:bCs/>
              </w:rPr>
              <w:t>在钳、车、铣、磨、铸、锻、焊、热处理、数字制图等专业基础技能训练领域内开设的基础技能训练项目的统计和审核材料</w:t>
            </w:r>
          </w:p>
        </w:tc>
        <w:tc>
          <w:tcPr>
            <w:tcW w:w="1431" w:type="dxa"/>
            <w:tcBorders>
              <w:top w:val="single" w:color="auto" w:sz="4" w:space="0"/>
              <w:left w:val="single" w:color="auto" w:sz="4" w:space="0"/>
              <w:bottom w:val="single" w:color="auto" w:sz="4" w:space="0"/>
              <w:right w:val="single" w:color="auto" w:sz="8" w:space="0"/>
            </w:tcBorders>
            <w:vAlign w:val="center"/>
          </w:tcPr>
          <w:p w14:paraId="14BE3F1D">
            <w:pPr>
              <w:adjustRightInd w:val="0"/>
              <w:snapToGrid w:val="0"/>
              <w:ind w:firstLine="0" w:firstLineChars="0"/>
              <w:jc w:val="center"/>
              <w:rPr>
                <w:rFonts w:hint="eastAsia"/>
              </w:rPr>
            </w:pPr>
            <w:r>
              <w:rPr>
                <w:rFonts w:hint="eastAsia"/>
              </w:rPr>
              <w:t>证据判断法</w:t>
            </w:r>
          </w:p>
        </w:tc>
      </w:tr>
      <w:tr w14:paraId="501289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9" w:type="dxa"/>
            <w:vMerge w:val="continue"/>
            <w:tcBorders>
              <w:left w:val="single" w:color="auto" w:sz="8" w:space="0"/>
              <w:bottom w:val="single" w:color="auto" w:sz="4" w:space="0"/>
              <w:right w:val="single" w:color="auto" w:sz="4" w:space="0"/>
            </w:tcBorders>
            <w:vAlign w:val="center"/>
          </w:tcPr>
          <w:p w14:paraId="39D19644">
            <w:pPr>
              <w:adjustRightInd w:val="0"/>
              <w:snapToGrid w:val="0"/>
              <w:ind w:firstLine="0" w:firstLineChars="0"/>
              <w:jc w:val="center"/>
              <w:rPr>
                <w:rFonts w:hint="eastAsia"/>
              </w:rPr>
            </w:pPr>
          </w:p>
        </w:tc>
        <w:tc>
          <w:tcPr>
            <w:tcW w:w="1378"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387E8EE9">
            <w:pPr>
              <w:adjustRightInd w:val="0"/>
              <w:snapToGrid w:val="0"/>
              <w:ind w:firstLine="0" w:firstLineChars="0"/>
              <w:jc w:val="center"/>
              <w:rPr>
                <w:rFonts w:hint="eastAsia"/>
              </w:rPr>
            </w:pPr>
          </w:p>
        </w:tc>
        <w:tc>
          <w:tcPr>
            <w:tcW w:w="7641"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6A3D632C">
            <w:pPr>
              <w:adjustRightInd w:val="0"/>
              <w:snapToGrid w:val="0"/>
              <w:rPr>
                <w:rFonts w:hint="eastAsia"/>
              </w:rPr>
            </w:pPr>
            <w:r>
              <w:rPr>
                <w:rFonts w:hint="eastAsia"/>
              </w:rPr>
              <w:t>制定依据：与《教育部职业教育专业教学标准-2025修（制）订》机械设计制造类专业要求符合</w:t>
            </w:r>
          </w:p>
        </w:tc>
      </w:tr>
      <w:tr w14:paraId="1CFF38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9" w:type="dxa"/>
            <w:vMerge w:val="restart"/>
            <w:tcBorders>
              <w:top w:val="single" w:color="auto" w:sz="4" w:space="0"/>
              <w:left w:val="single" w:color="auto" w:sz="8" w:space="0"/>
              <w:right w:val="single" w:color="auto" w:sz="4" w:space="0"/>
            </w:tcBorders>
            <w:tcMar>
              <w:top w:w="57" w:type="dxa"/>
              <w:left w:w="108" w:type="dxa"/>
              <w:bottom w:w="57" w:type="dxa"/>
              <w:right w:w="108" w:type="dxa"/>
            </w:tcMar>
            <w:vAlign w:val="center"/>
          </w:tcPr>
          <w:p w14:paraId="723A1F8C">
            <w:pPr>
              <w:adjustRightInd w:val="0"/>
              <w:snapToGrid w:val="0"/>
              <w:ind w:firstLine="0" w:firstLineChars="0"/>
              <w:jc w:val="center"/>
              <w:rPr>
                <w:rFonts w:hint="eastAsia"/>
              </w:rPr>
            </w:pPr>
            <w:r>
              <w:rPr>
                <w:rFonts w:hint="eastAsia"/>
              </w:rPr>
              <w:t>7 师资队伍</w:t>
            </w:r>
          </w:p>
        </w:tc>
        <w:tc>
          <w:tcPr>
            <w:tcW w:w="1378"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3AD9378B">
            <w:pPr>
              <w:adjustRightInd w:val="0"/>
              <w:snapToGrid w:val="0"/>
              <w:ind w:firstLine="0" w:firstLineChars="0"/>
              <w:jc w:val="center"/>
              <w:rPr>
                <w:rFonts w:hint="eastAsia"/>
              </w:rPr>
            </w:pPr>
            <w:r>
              <w:rPr>
                <w:rFonts w:hint="eastAsia"/>
              </w:rPr>
              <w:t>7.4专业教师学科背景</w:t>
            </w:r>
          </w:p>
        </w:tc>
        <w:tc>
          <w:tcPr>
            <w:tcW w:w="297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3A34A8BD">
            <w:pPr>
              <w:pStyle w:val="30"/>
              <w:snapToGrid w:val="0"/>
              <w:spacing w:line="240" w:lineRule="auto"/>
              <w:rPr>
                <w:b w:val="0"/>
                <w:bCs/>
              </w:rPr>
            </w:pPr>
            <w:r>
              <w:rPr>
                <w:rFonts w:hint="eastAsia"/>
                <w:b w:val="0"/>
                <w:bCs/>
                <w:color w:val="000000" w:themeColor="text1"/>
                <w14:textFill>
                  <w14:solidFill>
                    <w14:schemeClr w14:val="tx1"/>
                  </w14:solidFill>
                </w14:textFill>
              </w:rPr>
              <w:t>8</w:t>
            </w:r>
            <w:r>
              <w:rPr>
                <w:b w:val="0"/>
                <w:bCs/>
                <w:color w:val="000000" w:themeColor="text1"/>
                <w14:textFill>
                  <w14:solidFill>
                    <w14:schemeClr w14:val="tx1"/>
                  </w14:solidFill>
                </w14:textFill>
              </w:rPr>
              <w:t>0</w:t>
            </w:r>
            <w:r>
              <w:rPr>
                <w:rFonts w:hint="eastAsia"/>
                <w:b w:val="0"/>
                <w:bCs/>
                <w:color w:val="000000" w:themeColor="text1"/>
                <w14:textFill>
                  <w14:solidFill>
                    <w14:schemeClr w14:val="tx1"/>
                  </w14:solidFill>
                </w14:textFill>
              </w:rPr>
              <w:t>%</w:t>
            </w:r>
            <w:r>
              <w:rPr>
                <w:rFonts w:hint="eastAsia"/>
                <w:b w:val="0"/>
                <w:bCs/>
              </w:rPr>
              <w:t>专业教师在本科、硕士和博士三个学历阶段中，有一个阶段是机械类专业学历</w:t>
            </w:r>
          </w:p>
        </w:tc>
        <w:tc>
          <w:tcPr>
            <w:tcW w:w="3232" w:type="dxa"/>
            <w:tcBorders>
              <w:top w:val="single" w:color="auto" w:sz="4" w:space="0"/>
              <w:left w:val="single" w:color="auto" w:sz="4" w:space="0"/>
              <w:bottom w:val="single" w:color="auto" w:sz="4" w:space="0"/>
              <w:right w:val="single" w:color="auto" w:sz="4" w:space="0"/>
            </w:tcBorders>
            <w:vAlign w:val="center"/>
          </w:tcPr>
          <w:p w14:paraId="113A1AF4">
            <w:pPr>
              <w:pStyle w:val="30"/>
              <w:snapToGrid w:val="0"/>
              <w:spacing w:line="240" w:lineRule="auto"/>
              <w:rPr>
                <w:b w:val="0"/>
                <w:bCs/>
              </w:rPr>
            </w:pPr>
            <w:r>
              <w:rPr>
                <w:rFonts w:hint="eastAsia"/>
                <w:b w:val="0"/>
                <w:bCs/>
              </w:rPr>
              <w:t>专业教师在本科、硕士和博士三个学历阶段中获得的机械类专业学历的统计和审核材料</w:t>
            </w:r>
          </w:p>
        </w:tc>
        <w:tc>
          <w:tcPr>
            <w:tcW w:w="1431" w:type="dxa"/>
            <w:tcBorders>
              <w:top w:val="single" w:color="auto" w:sz="4" w:space="0"/>
              <w:left w:val="single" w:color="auto" w:sz="4" w:space="0"/>
              <w:bottom w:val="single" w:color="auto" w:sz="4" w:space="0"/>
              <w:right w:val="single" w:color="auto" w:sz="8" w:space="0"/>
            </w:tcBorders>
            <w:vAlign w:val="center"/>
          </w:tcPr>
          <w:p w14:paraId="7D28B045">
            <w:pPr>
              <w:adjustRightInd w:val="0"/>
              <w:snapToGrid w:val="0"/>
              <w:ind w:firstLine="0" w:firstLineChars="0"/>
              <w:jc w:val="center"/>
              <w:rPr>
                <w:rFonts w:hint="eastAsia"/>
              </w:rPr>
            </w:pPr>
            <w:r>
              <w:rPr>
                <w:rFonts w:hint="eastAsia"/>
              </w:rPr>
              <w:t>证据判断法</w:t>
            </w:r>
          </w:p>
        </w:tc>
      </w:tr>
      <w:tr w14:paraId="790634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9" w:type="dxa"/>
            <w:vMerge w:val="continue"/>
            <w:tcBorders>
              <w:left w:val="single" w:color="auto" w:sz="8" w:space="0"/>
              <w:right w:val="single" w:color="auto" w:sz="4" w:space="0"/>
            </w:tcBorders>
            <w:tcMar>
              <w:top w:w="57" w:type="dxa"/>
              <w:left w:w="108" w:type="dxa"/>
              <w:bottom w:w="57" w:type="dxa"/>
              <w:right w:w="108" w:type="dxa"/>
            </w:tcMar>
            <w:vAlign w:val="center"/>
          </w:tcPr>
          <w:p w14:paraId="062D6CF6">
            <w:pPr>
              <w:adjustRightInd w:val="0"/>
              <w:snapToGrid w:val="0"/>
              <w:rPr>
                <w:rFonts w:hint="eastAsia"/>
              </w:rPr>
            </w:pPr>
          </w:p>
        </w:tc>
        <w:tc>
          <w:tcPr>
            <w:tcW w:w="1378"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17B9CA60">
            <w:pPr>
              <w:adjustRightInd w:val="0"/>
              <w:snapToGrid w:val="0"/>
              <w:ind w:firstLine="0" w:firstLineChars="0"/>
              <w:jc w:val="center"/>
              <w:rPr>
                <w:rFonts w:hint="eastAsia"/>
              </w:rPr>
            </w:pPr>
          </w:p>
        </w:tc>
        <w:tc>
          <w:tcPr>
            <w:tcW w:w="7641"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4D957068">
            <w:pPr>
              <w:adjustRightInd w:val="0"/>
              <w:snapToGrid w:val="0"/>
              <w:rPr>
                <w:rFonts w:hint="eastAsia"/>
              </w:rPr>
            </w:pPr>
            <w:r>
              <w:rPr>
                <w:rFonts w:hint="eastAsia"/>
              </w:rPr>
              <w:t>制定依据：与机械行业高职院校专任教师招聘的学历准入标准调研的结论一致</w:t>
            </w:r>
          </w:p>
        </w:tc>
      </w:tr>
      <w:tr w14:paraId="63C660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9" w:type="dxa"/>
            <w:vMerge w:val="continue"/>
            <w:tcBorders>
              <w:left w:val="single" w:color="auto" w:sz="8" w:space="0"/>
              <w:right w:val="single" w:color="auto" w:sz="4" w:space="0"/>
            </w:tcBorders>
            <w:vAlign w:val="center"/>
          </w:tcPr>
          <w:p w14:paraId="7E08A520">
            <w:pPr>
              <w:adjustRightInd w:val="0"/>
              <w:snapToGrid w:val="0"/>
              <w:rPr>
                <w:rFonts w:hint="eastAsia"/>
              </w:rPr>
            </w:pPr>
          </w:p>
        </w:tc>
        <w:tc>
          <w:tcPr>
            <w:tcW w:w="1378"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2CB3AFF1">
            <w:pPr>
              <w:adjustRightInd w:val="0"/>
              <w:snapToGrid w:val="0"/>
              <w:ind w:firstLine="0" w:firstLineChars="0"/>
              <w:jc w:val="center"/>
              <w:rPr>
                <w:rFonts w:hint="eastAsia"/>
              </w:rPr>
            </w:pPr>
            <w:r>
              <w:rPr>
                <w:rFonts w:hint="eastAsia"/>
              </w:rPr>
              <w:t>7.5专业教师技能要求</w:t>
            </w:r>
          </w:p>
        </w:tc>
        <w:tc>
          <w:tcPr>
            <w:tcW w:w="297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4717903">
            <w:pPr>
              <w:pStyle w:val="30"/>
              <w:snapToGrid w:val="0"/>
              <w:spacing w:line="240" w:lineRule="auto"/>
              <w:rPr>
                <w:b w:val="0"/>
                <w:bCs/>
              </w:rPr>
            </w:pPr>
            <w:r>
              <w:rPr>
                <w:rFonts w:hint="eastAsia"/>
                <w:b w:val="0"/>
                <w:bCs/>
              </w:rPr>
              <w:t>从事专业教学三年及以上专业教师获得一个与专业相关或与授课课程相关的、公认的职业资格证书或技能等级证书</w:t>
            </w:r>
          </w:p>
        </w:tc>
        <w:tc>
          <w:tcPr>
            <w:tcW w:w="3232" w:type="dxa"/>
            <w:tcBorders>
              <w:top w:val="single" w:color="auto" w:sz="4" w:space="0"/>
              <w:left w:val="single" w:color="auto" w:sz="4" w:space="0"/>
              <w:bottom w:val="single" w:color="auto" w:sz="4" w:space="0"/>
              <w:right w:val="single" w:color="auto" w:sz="4" w:space="0"/>
            </w:tcBorders>
            <w:vAlign w:val="center"/>
          </w:tcPr>
          <w:p w14:paraId="103C0E02">
            <w:pPr>
              <w:pStyle w:val="30"/>
              <w:snapToGrid w:val="0"/>
              <w:spacing w:line="240" w:lineRule="auto"/>
              <w:rPr>
                <w:b w:val="0"/>
                <w:bCs/>
              </w:rPr>
            </w:pPr>
            <w:r>
              <w:rPr>
                <w:rFonts w:hint="eastAsia"/>
                <w:b w:val="0"/>
                <w:bCs/>
              </w:rPr>
              <w:t>专业教师获得的与专业相关或与授课课程相关的、公认的职业资格证书或技能等级证书的统计和审核材料</w:t>
            </w:r>
          </w:p>
        </w:tc>
        <w:tc>
          <w:tcPr>
            <w:tcW w:w="1431" w:type="dxa"/>
            <w:tcBorders>
              <w:top w:val="single" w:color="auto" w:sz="4" w:space="0"/>
              <w:left w:val="single" w:color="auto" w:sz="4" w:space="0"/>
              <w:bottom w:val="single" w:color="auto" w:sz="4" w:space="0"/>
              <w:right w:val="single" w:color="auto" w:sz="8" w:space="0"/>
            </w:tcBorders>
            <w:vAlign w:val="center"/>
          </w:tcPr>
          <w:p w14:paraId="6AF212C1">
            <w:pPr>
              <w:adjustRightInd w:val="0"/>
              <w:snapToGrid w:val="0"/>
              <w:ind w:firstLine="0" w:firstLineChars="0"/>
              <w:jc w:val="center"/>
              <w:rPr>
                <w:rFonts w:hint="eastAsia"/>
              </w:rPr>
            </w:pPr>
            <w:r>
              <w:rPr>
                <w:rFonts w:hint="eastAsia"/>
              </w:rPr>
              <w:t>证据判断法</w:t>
            </w:r>
          </w:p>
        </w:tc>
      </w:tr>
      <w:tr w14:paraId="70C0AD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9" w:type="dxa"/>
            <w:vMerge w:val="continue"/>
            <w:tcBorders>
              <w:left w:val="single" w:color="auto" w:sz="8" w:space="0"/>
              <w:right w:val="single" w:color="auto" w:sz="4" w:space="0"/>
            </w:tcBorders>
            <w:vAlign w:val="center"/>
          </w:tcPr>
          <w:p w14:paraId="4C7158BB">
            <w:pPr>
              <w:adjustRightInd w:val="0"/>
              <w:snapToGrid w:val="0"/>
              <w:rPr>
                <w:rFonts w:hint="eastAsia"/>
              </w:rPr>
            </w:pPr>
          </w:p>
        </w:tc>
        <w:tc>
          <w:tcPr>
            <w:tcW w:w="1378"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3365E14A">
            <w:pPr>
              <w:adjustRightInd w:val="0"/>
              <w:snapToGrid w:val="0"/>
              <w:ind w:firstLine="0" w:firstLineChars="0"/>
              <w:jc w:val="center"/>
              <w:rPr>
                <w:rFonts w:hint="eastAsia"/>
              </w:rPr>
            </w:pPr>
          </w:p>
        </w:tc>
        <w:tc>
          <w:tcPr>
            <w:tcW w:w="7641"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6680A82D">
            <w:pPr>
              <w:adjustRightInd w:val="0"/>
              <w:snapToGrid w:val="0"/>
              <w:rPr>
                <w:rFonts w:hint="eastAsia"/>
              </w:rPr>
            </w:pPr>
            <w:r>
              <w:rPr>
                <w:rFonts w:hint="eastAsia"/>
              </w:rPr>
              <w:t>制定依据：与《高等职业学校办学条件监测指标（试行）》四41条款符合</w:t>
            </w:r>
          </w:p>
        </w:tc>
      </w:tr>
      <w:tr w14:paraId="0168F3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9" w:type="dxa"/>
            <w:vMerge w:val="continue"/>
            <w:tcBorders>
              <w:left w:val="single" w:color="auto" w:sz="8" w:space="0"/>
              <w:right w:val="single" w:color="auto" w:sz="4" w:space="0"/>
            </w:tcBorders>
            <w:vAlign w:val="center"/>
          </w:tcPr>
          <w:p w14:paraId="2ACAEC38">
            <w:pPr>
              <w:adjustRightInd w:val="0"/>
              <w:snapToGrid w:val="0"/>
              <w:rPr>
                <w:rFonts w:hint="eastAsia"/>
              </w:rPr>
            </w:pPr>
            <w:bookmarkStart w:id="3" w:name="_Hlk203128552"/>
          </w:p>
        </w:tc>
        <w:tc>
          <w:tcPr>
            <w:tcW w:w="1378"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45D4F949">
            <w:pPr>
              <w:adjustRightInd w:val="0"/>
              <w:snapToGrid w:val="0"/>
              <w:ind w:firstLine="0" w:firstLineChars="0"/>
              <w:jc w:val="center"/>
              <w:rPr>
                <w:rFonts w:hint="eastAsia"/>
              </w:rPr>
            </w:pPr>
            <w:r>
              <w:rPr>
                <w:rFonts w:hint="eastAsia"/>
              </w:rPr>
              <w:t>7.6企业导师</w:t>
            </w:r>
          </w:p>
        </w:tc>
        <w:tc>
          <w:tcPr>
            <w:tcW w:w="297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166C304D">
            <w:pPr>
              <w:pStyle w:val="30"/>
              <w:snapToGrid w:val="0"/>
              <w:spacing w:line="240" w:lineRule="auto"/>
              <w:rPr>
                <w:b w:val="0"/>
                <w:bCs/>
              </w:rPr>
            </w:pPr>
            <w:r>
              <w:rPr>
                <w:rFonts w:hint="eastAsia"/>
                <w:b w:val="0"/>
                <w:bCs/>
              </w:rPr>
              <w:t>聘</w:t>
            </w:r>
            <w:r>
              <w:rPr>
                <w:rFonts w:hint="eastAsia"/>
                <w:b w:val="0"/>
                <w:bCs/>
                <w:color w:val="000000" w:themeColor="text1"/>
                <w14:textFill>
                  <w14:solidFill>
                    <w14:schemeClr w14:val="tx1"/>
                  </w14:solidFill>
                </w14:textFill>
              </w:rPr>
              <w:t>用企业中与专业相关岗位工作的技术骨干为企业导师</w:t>
            </w:r>
          </w:p>
        </w:tc>
        <w:tc>
          <w:tcPr>
            <w:tcW w:w="3232" w:type="dxa"/>
            <w:tcBorders>
              <w:top w:val="single" w:color="auto" w:sz="4" w:space="0"/>
              <w:left w:val="single" w:color="auto" w:sz="4" w:space="0"/>
              <w:bottom w:val="single" w:color="auto" w:sz="4" w:space="0"/>
              <w:right w:val="single" w:color="auto" w:sz="4" w:space="0"/>
            </w:tcBorders>
            <w:vAlign w:val="center"/>
          </w:tcPr>
          <w:p w14:paraId="4F85B816">
            <w:pPr>
              <w:pStyle w:val="30"/>
              <w:snapToGrid w:val="0"/>
              <w:spacing w:line="240" w:lineRule="auto"/>
              <w:rPr>
                <w:b w:val="0"/>
                <w:bCs/>
              </w:rPr>
            </w:pPr>
            <w:r>
              <w:rPr>
                <w:rFonts w:hint="eastAsia"/>
                <w:b w:val="0"/>
                <w:bCs/>
              </w:rPr>
              <w:t>近三年聘用的企业导师聘用协议文本汇总材料</w:t>
            </w:r>
          </w:p>
          <w:p w14:paraId="57F41415">
            <w:pPr>
              <w:pStyle w:val="30"/>
              <w:snapToGrid w:val="0"/>
              <w:spacing w:line="240" w:lineRule="auto"/>
              <w:rPr>
                <w:b w:val="0"/>
                <w:bCs/>
              </w:rPr>
            </w:pPr>
            <w:r>
              <w:rPr>
                <w:rFonts w:hint="eastAsia"/>
                <w:b w:val="0"/>
                <w:bCs/>
              </w:rPr>
              <w:t>近三年聘用的企业导师的技术背景、岗位背景、个人基本信息材料</w:t>
            </w:r>
          </w:p>
        </w:tc>
        <w:tc>
          <w:tcPr>
            <w:tcW w:w="1431" w:type="dxa"/>
            <w:tcBorders>
              <w:top w:val="single" w:color="auto" w:sz="4" w:space="0"/>
              <w:left w:val="single" w:color="auto" w:sz="4" w:space="0"/>
              <w:bottom w:val="single" w:color="auto" w:sz="4" w:space="0"/>
              <w:right w:val="single" w:color="auto" w:sz="8" w:space="0"/>
            </w:tcBorders>
            <w:vAlign w:val="center"/>
          </w:tcPr>
          <w:p w14:paraId="49B35FA4">
            <w:pPr>
              <w:adjustRightInd w:val="0"/>
              <w:snapToGrid w:val="0"/>
              <w:ind w:firstLine="0" w:firstLineChars="0"/>
              <w:jc w:val="center"/>
              <w:rPr>
                <w:rFonts w:hint="eastAsia"/>
              </w:rPr>
            </w:pPr>
            <w:r>
              <w:rPr>
                <w:rFonts w:hint="eastAsia"/>
              </w:rPr>
              <w:t>证据判断法</w:t>
            </w:r>
          </w:p>
        </w:tc>
      </w:tr>
      <w:tr w14:paraId="69590C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9" w:type="dxa"/>
            <w:vMerge w:val="continue"/>
            <w:tcBorders>
              <w:left w:val="single" w:color="auto" w:sz="8" w:space="0"/>
              <w:right w:val="single" w:color="auto" w:sz="4" w:space="0"/>
            </w:tcBorders>
            <w:vAlign w:val="center"/>
          </w:tcPr>
          <w:p w14:paraId="3257A4FC">
            <w:pPr>
              <w:adjustRightInd w:val="0"/>
              <w:snapToGrid w:val="0"/>
              <w:rPr>
                <w:rFonts w:hint="eastAsia"/>
              </w:rPr>
            </w:pPr>
          </w:p>
        </w:tc>
        <w:tc>
          <w:tcPr>
            <w:tcW w:w="1378" w:type="dxa"/>
            <w:vMerge w:val="continue"/>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6761192F">
            <w:pPr>
              <w:adjustRightInd w:val="0"/>
              <w:snapToGrid w:val="0"/>
              <w:rPr>
                <w:rFonts w:hint="eastAsia"/>
              </w:rPr>
            </w:pPr>
          </w:p>
        </w:tc>
        <w:tc>
          <w:tcPr>
            <w:tcW w:w="7641"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131009EA">
            <w:pPr>
              <w:adjustRightInd w:val="0"/>
              <w:snapToGrid w:val="0"/>
              <w:rPr>
                <w:rFonts w:hint="eastAsia"/>
              </w:rPr>
            </w:pPr>
            <w:r>
              <w:rPr>
                <w:rFonts w:hint="eastAsia"/>
              </w:rPr>
              <w:t>制定依据：与《高等职业学校办学条件监测指标（试行）》五9（1）条款一致</w:t>
            </w:r>
          </w:p>
        </w:tc>
      </w:tr>
      <w:tr w14:paraId="554FDC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9" w:type="dxa"/>
            <w:vMerge w:val="continue"/>
            <w:tcBorders>
              <w:left w:val="single" w:color="auto" w:sz="8" w:space="0"/>
              <w:right w:val="single" w:color="auto" w:sz="4" w:space="0"/>
            </w:tcBorders>
            <w:vAlign w:val="center"/>
          </w:tcPr>
          <w:p w14:paraId="18324732">
            <w:pPr>
              <w:adjustRightInd w:val="0"/>
              <w:snapToGrid w:val="0"/>
              <w:rPr>
                <w:rFonts w:hint="eastAsia"/>
              </w:rPr>
            </w:pPr>
          </w:p>
        </w:tc>
        <w:tc>
          <w:tcPr>
            <w:tcW w:w="1378" w:type="dxa"/>
            <w:vMerge w:val="continue"/>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5BE20568">
            <w:pPr>
              <w:adjustRightInd w:val="0"/>
              <w:snapToGrid w:val="0"/>
              <w:rPr>
                <w:rFonts w:hint="eastAsia"/>
              </w:rPr>
            </w:pPr>
          </w:p>
        </w:tc>
        <w:tc>
          <w:tcPr>
            <w:tcW w:w="297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8F6421F">
            <w:pPr>
              <w:snapToGrid w:val="0"/>
              <w:rPr>
                <w:rFonts w:hint="eastAsia"/>
                <w:bCs/>
              </w:rPr>
            </w:pPr>
            <w:r>
              <w:rPr>
                <w:rFonts w:hint="eastAsia"/>
                <w:bCs/>
              </w:rPr>
              <w:t>企业导师每学年任课量占专业课总教学工作量15%以上</w:t>
            </w:r>
          </w:p>
        </w:tc>
        <w:tc>
          <w:tcPr>
            <w:tcW w:w="3232" w:type="dxa"/>
            <w:tcBorders>
              <w:top w:val="single" w:color="auto" w:sz="4" w:space="0"/>
              <w:left w:val="single" w:color="auto" w:sz="4" w:space="0"/>
              <w:bottom w:val="single" w:color="auto" w:sz="4" w:space="0"/>
              <w:right w:val="single" w:color="auto" w:sz="4" w:space="0"/>
            </w:tcBorders>
            <w:vAlign w:val="center"/>
          </w:tcPr>
          <w:p w14:paraId="6A5362D8">
            <w:pPr>
              <w:pStyle w:val="30"/>
              <w:snapToGrid w:val="0"/>
              <w:spacing w:line="240" w:lineRule="auto"/>
              <w:rPr>
                <w:b w:val="0"/>
                <w:bCs/>
              </w:rPr>
            </w:pPr>
            <w:r>
              <w:rPr>
                <w:rFonts w:hint="eastAsia"/>
                <w:b w:val="0"/>
                <w:bCs/>
              </w:rPr>
              <w:t>近三年企业导师每学年任课</w:t>
            </w:r>
            <w:bookmarkStart w:id="4" w:name="_Hlk200115183"/>
            <w:r>
              <w:rPr>
                <w:rFonts w:hint="eastAsia"/>
                <w:b w:val="0"/>
                <w:bCs/>
              </w:rPr>
              <w:t>工作量报酬或合作协议、合同等凭证</w:t>
            </w:r>
            <w:bookmarkEnd w:id="4"/>
          </w:p>
          <w:p w14:paraId="1C03F288">
            <w:pPr>
              <w:snapToGrid w:val="0"/>
              <w:rPr>
                <w:rFonts w:hint="eastAsia"/>
                <w:bCs/>
              </w:rPr>
            </w:pPr>
            <w:r>
              <w:rPr>
                <w:rFonts w:hint="eastAsia"/>
                <w:bCs/>
              </w:rPr>
              <w:t>近三年企业导师每学年任课量占专业总教学工作量比例的统计和审核材料</w:t>
            </w:r>
          </w:p>
        </w:tc>
        <w:tc>
          <w:tcPr>
            <w:tcW w:w="1431" w:type="dxa"/>
            <w:tcBorders>
              <w:top w:val="single" w:color="auto" w:sz="4" w:space="0"/>
              <w:left w:val="single" w:color="auto" w:sz="4" w:space="0"/>
              <w:bottom w:val="single" w:color="auto" w:sz="4" w:space="0"/>
              <w:right w:val="single" w:color="auto" w:sz="8" w:space="0"/>
            </w:tcBorders>
            <w:vAlign w:val="center"/>
          </w:tcPr>
          <w:p w14:paraId="5E7BFAC2">
            <w:pPr>
              <w:adjustRightInd w:val="0"/>
              <w:snapToGrid w:val="0"/>
              <w:ind w:firstLine="0" w:firstLineChars="0"/>
              <w:jc w:val="center"/>
              <w:rPr>
                <w:rFonts w:hint="eastAsia"/>
              </w:rPr>
            </w:pPr>
            <w:r>
              <w:rPr>
                <w:rFonts w:hint="eastAsia"/>
              </w:rPr>
              <w:t>证据判断法</w:t>
            </w:r>
          </w:p>
        </w:tc>
      </w:tr>
      <w:tr w14:paraId="76FB64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9" w:type="dxa"/>
            <w:vMerge w:val="continue"/>
            <w:tcBorders>
              <w:left w:val="single" w:color="auto" w:sz="8" w:space="0"/>
              <w:bottom w:val="single" w:color="auto" w:sz="4" w:space="0"/>
              <w:right w:val="single" w:color="auto" w:sz="4" w:space="0"/>
            </w:tcBorders>
            <w:vAlign w:val="center"/>
          </w:tcPr>
          <w:p w14:paraId="73D9C654">
            <w:pPr>
              <w:adjustRightInd w:val="0"/>
              <w:snapToGrid w:val="0"/>
              <w:rPr>
                <w:rFonts w:hint="eastAsia"/>
              </w:rPr>
            </w:pPr>
          </w:p>
        </w:tc>
        <w:tc>
          <w:tcPr>
            <w:tcW w:w="1378"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049A8ADE">
            <w:pPr>
              <w:adjustRightInd w:val="0"/>
              <w:snapToGrid w:val="0"/>
              <w:rPr>
                <w:rFonts w:hint="eastAsia"/>
              </w:rPr>
            </w:pPr>
          </w:p>
        </w:tc>
        <w:tc>
          <w:tcPr>
            <w:tcW w:w="7641"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37CE0DFD">
            <w:pPr>
              <w:adjustRightInd w:val="0"/>
              <w:snapToGrid w:val="0"/>
              <w:rPr>
                <w:rFonts w:hint="eastAsia"/>
              </w:rPr>
            </w:pPr>
            <w:r>
              <w:rPr>
                <w:rFonts w:hint="eastAsia"/>
              </w:rPr>
              <w:t>制定依据：与《高等职业学校办学条件监测指标（试行）》四31条款一致</w:t>
            </w:r>
          </w:p>
        </w:tc>
      </w:tr>
      <w:bookmarkEnd w:id="3"/>
    </w:tbl>
    <w:p w14:paraId="2541ADB7">
      <w:pPr>
        <w:pStyle w:val="5"/>
      </w:pPr>
      <w:r>
        <w:rPr>
          <w:rFonts w:hint="eastAsia"/>
        </w:rPr>
        <w:t>3.3 工程材料技术类专业补充评价要求制定依据</w:t>
      </w:r>
    </w:p>
    <w:p w14:paraId="63B1FD73">
      <w:pPr>
        <w:adjustRightInd w:val="0"/>
        <w:snapToGrid w:val="0"/>
        <w:spacing w:line="360" w:lineRule="auto"/>
        <w:ind w:firstLine="420" w:firstLineChars="200"/>
        <w:rPr>
          <w:rFonts w:hint="eastAsia"/>
          <w:sz w:val="21"/>
          <w:szCs w:val="21"/>
        </w:rPr>
      </w:pPr>
      <w:r>
        <w:rPr>
          <w:rFonts w:hint="eastAsia"/>
          <w:sz w:val="21"/>
          <w:szCs w:val="21"/>
        </w:rPr>
        <w:t>工程材料技术类专业包括材料成型及控制技术（专业代码460107）、现代铸造技术（专业代码460108）、现代锻压技术（专业代码460109）、智能焊接技术（专业代码460110）和工业材料表面处理技术（专业代码460111）5个专业，补充评价要求判定基准的制定依据见表3。</w:t>
      </w:r>
    </w:p>
    <w:p w14:paraId="3E5518EB">
      <w:pPr>
        <w:pStyle w:val="37"/>
        <w:numPr>
          <w:ilvl w:val="0"/>
          <w:numId w:val="1"/>
        </w:numPr>
        <w:tabs>
          <w:tab w:val="left" w:pos="0"/>
        </w:tabs>
        <w:adjustRightInd w:val="0"/>
        <w:snapToGrid w:val="0"/>
        <w:spacing w:before="156" w:after="156"/>
        <w:ind w:left="0"/>
        <w:rPr>
          <w:rFonts w:hint="eastAsia" w:hAnsi="黑体" w:cs="黑体"/>
          <w:szCs w:val="21"/>
        </w:rPr>
      </w:pPr>
      <w:r>
        <w:rPr>
          <w:rFonts w:hint="eastAsia" w:hAnsi="黑体" w:cs="黑体"/>
          <w:szCs w:val="21"/>
        </w:rPr>
        <w:t>工程材料技术类专业补充评价要求制定依据</w:t>
      </w:r>
    </w:p>
    <w:tbl>
      <w:tblPr>
        <w:tblStyle w:val="19"/>
        <w:tblW w:w="9939"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1361"/>
        <w:gridCol w:w="2513"/>
        <w:gridCol w:w="3723"/>
        <w:gridCol w:w="1445"/>
      </w:tblGrid>
      <w:tr w14:paraId="66A148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897" w:type="dxa"/>
            <w:tcBorders>
              <w:top w:val="single" w:color="auto" w:sz="8"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61A9B7AD">
            <w:pPr>
              <w:adjustRightInd w:val="0"/>
              <w:snapToGrid w:val="0"/>
              <w:ind w:firstLine="0" w:firstLineChars="0"/>
              <w:jc w:val="center"/>
              <w:rPr>
                <w:rFonts w:hint="eastAsia"/>
                <w:b/>
                <w:bCs/>
              </w:rPr>
            </w:pPr>
            <w:bookmarkStart w:id="5" w:name="_Toc190358613"/>
            <w:r>
              <w:rPr>
                <w:rFonts w:hint="eastAsia"/>
                <w:b/>
                <w:bCs/>
              </w:rPr>
              <w:t>一级</w:t>
            </w:r>
          </w:p>
          <w:p w14:paraId="46F84C8D">
            <w:pPr>
              <w:adjustRightInd w:val="0"/>
              <w:snapToGrid w:val="0"/>
              <w:ind w:firstLine="0" w:firstLineChars="0"/>
              <w:jc w:val="center"/>
              <w:rPr>
                <w:rFonts w:hint="eastAsia"/>
                <w:b/>
                <w:bCs/>
              </w:rPr>
            </w:pPr>
            <w:r>
              <w:rPr>
                <w:rFonts w:hint="eastAsia"/>
                <w:b/>
                <w:bCs/>
              </w:rPr>
              <w:t>指标</w:t>
            </w:r>
          </w:p>
        </w:tc>
        <w:tc>
          <w:tcPr>
            <w:tcW w:w="1361"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3E9D9BDC">
            <w:pPr>
              <w:adjustRightInd w:val="0"/>
              <w:snapToGrid w:val="0"/>
              <w:ind w:firstLine="0" w:firstLineChars="0"/>
              <w:jc w:val="center"/>
              <w:rPr>
                <w:rFonts w:hint="eastAsia"/>
                <w:b/>
                <w:bCs/>
              </w:rPr>
            </w:pPr>
            <w:r>
              <w:rPr>
                <w:rFonts w:hint="eastAsia"/>
                <w:b/>
                <w:bCs/>
              </w:rPr>
              <w:t>二级指标</w:t>
            </w:r>
          </w:p>
        </w:tc>
        <w:tc>
          <w:tcPr>
            <w:tcW w:w="2513"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3F710A35">
            <w:pPr>
              <w:adjustRightInd w:val="0"/>
              <w:snapToGrid w:val="0"/>
              <w:ind w:firstLine="0" w:firstLineChars="0"/>
              <w:jc w:val="center"/>
              <w:rPr>
                <w:rFonts w:hint="eastAsia"/>
                <w:b/>
                <w:bCs/>
              </w:rPr>
            </w:pPr>
            <w:r>
              <w:rPr>
                <w:rFonts w:hint="eastAsia"/>
                <w:b/>
                <w:bCs/>
              </w:rPr>
              <w:t>判定基准</w:t>
            </w:r>
          </w:p>
        </w:tc>
        <w:tc>
          <w:tcPr>
            <w:tcW w:w="3723" w:type="dxa"/>
            <w:tcBorders>
              <w:top w:val="single" w:color="auto" w:sz="8" w:space="0"/>
              <w:left w:val="single" w:color="auto" w:sz="4" w:space="0"/>
              <w:bottom w:val="single" w:color="auto" w:sz="4" w:space="0"/>
              <w:right w:val="single" w:color="auto" w:sz="4" w:space="0"/>
            </w:tcBorders>
            <w:vAlign w:val="center"/>
          </w:tcPr>
          <w:p w14:paraId="6EA17170">
            <w:pPr>
              <w:adjustRightInd w:val="0"/>
              <w:snapToGrid w:val="0"/>
              <w:ind w:firstLine="0" w:firstLineChars="0"/>
              <w:jc w:val="center"/>
              <w:rPr>
                <w:rFonts w:hint="eastAsia"/>
                <w:b/>
                <w:bCs/>
              </w:rPr>
            </w:pPr>
            <w:r>
              <w:rPr>
                <w:rFonts w:hint="eastAsia"/>
                <w:b/>
                <w:bCs/>
              </w:rPr>
              <w:t>判定依据</w:t>
            </w:r>
          </w:p>
          <w:p w14:paraId="4289BBE4">
            <w:pPr>
              <w:adjustRightInd w:val="0"/>
              <w:snapToGrid w:val="0"/>
              <w:ind w:firstLine="0" w:firstLineChars="0"/>
              <w:jc w:val="center"/>
              <w:rPr>
                <w:rFonts w:hint="eastAsia"/>
                <w:b/>
                <w:bCs/>
              </w:rPr>
            </w:pPr>
            <w:r>
              <w:rPr>
                <w:rFonts w:hint="eastAsia"/>
                <w:b/>
                <w:bCs/>
              </w:rPr>
              <w:t>（包含但不限于）</w:t>
            </w:r>
          </w:p>
        </w:tc>
        <w:tc>
          <w:tcPr>
            <w:tcW w:w="1445" w:type="dxa"/>
            <w:tcBorders>
              <w:top w:val="single" w:color="auto" w:sz="8" w:space="0"/>
              <w:left w:val="single" w:color="auto" w:sz="4" w:space="0"/>
              <w:bottom w:val="single" w:color="auto" w:sz="4" w:space="0"/>
              <w:right w:val="single" w:color="auto" w:sz="8" w:space="0"/>
            </w:tcBorders>
            <w:vAlign w:val="center"/>
          </w:tcPr>
          <w:p w14:paraId="38F9EA60">
            <w:pPr>
              <w:adjustRightInd w:val="0"/>
              <w:snapToGrid w:val="0"/>
              <w:ind w:firstLine="0" w:firstLineChars="0"/>
              <w:jc w:val="center"/>
              <w:rPr>
                <w:rFonts w:hint="eastAsia"/>
                <w:b/>
                <w:bCs/>
              </w:rPr>
            </w:pPr>
            <w:r>
              <w:rPr>
                <w:rFonts w:hint="eastAsia"/>
                <w:b/>
                <w:bCs/>
              </w:rPr>
              <w:t>评价方法</w:t>
            </w:r>
          </w:p>
        </w:tc>
      </w:tr>
      <w:tr w14:paraId="4A954C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34" w:hRule="atLeast"/>
        </w:trPr>
        <w:tc>
          <w:tcPr>
            <w:tcW w:w="897" w:type="dxa"/>
            <w:vMerge w:val="restart"/>
            <w:tcBorders>
              <w:top w:val="single" w:color="auto" w:sz="4" w:space="0"/>
              <w:left w:val="single" w:color="auto" w:sz="8" w:space="0"/>
              <w:right w:val="single" w:color="auto" w:sz="4" w:space="0"/>
            </w:tcBorders>
            <w:tcMar>
              <w:top w:w="57" w:type="dxa"/>
              <w:left w:w="108" w:type="dxa"/>
              <w:bottom w:w="57" w:type="dxa"/>
              <w:right w:w="108" w:type="dxa"/>
            </w:tcMar>
            <w:vAlign w:val="center"/>
          </w:tcPr>
          <w:p w14:paraId="5473D2B1">
            <w:pPr>
              <w:adjustRightInd w:val="0"/>
              <w:snapToGrid w:val="0"/>
              <w:ind w:firstLine="0" w:firstLineChars="0"/>
              <w:jc w:val="center"/>
              <w:rPr>
                <w:rFonts w:hint="eastAsia"/>
              </w:rPr>
            </w:pPr>
            <w:r>
              <w:rPr>
                <w:rFonts w:hint="eastAsia"/>
              </w:rPr>
              <w:t>4 课程体系</w:t>
            </w:r>
          </w:p>
        </w:tc>
        <w:tc>
          <w:tcPr>
            <w:tcW w:w="1361"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7A66BCCB">
            <w:pPr>
              <w:adjustRightInd w:val="0"/>
              <w:snapToGrid w:val="0"/>
              <w:ind w:firstLine="0" w:firstLineChars="0"/>
              <w:jc w:val="center"/>
              <w:rPr>
                <w:rFonts w:hint="eastAsia"/>
              </w:rPr>
            </w:pPr>
            <w:r>
              <w:rPr>
                <w:rFonts w:hint="eastAsia"/>
              </w:rPr>
              <w:t>4.5专业基础知识领域</w:t>
            </w:r>
          </w:p>
        </w:tc>
        <w:tc>
          <w:tcPr>
            <w:tcW w:w="251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265B88C">
            <w:pPr>
              <w:pStyle w:val="30"/>
              <w:snapToGrid w:val="0"/>
              <w:spacing w:line="240" w:lineRule="auto"/>
              <w:rPr>
                <w:b w:val="0"/>
                <w:bCs/>
              </w:rPr>
            </w:pPr>
            <w:r>
              <w:rPr>
                <w:rFonts w:hint="eastAsia"/>
                <w:b w:val="0"/>
                <w:bCs/>
              </w:rPr>
              <w:t>在机械制图与计算机绘图、工程材料及热加工基础、机械设计基础、机械加工基础、公差配合与测量技术、电工电子技术、机械零件三维建模技术、液压与气压传动等专业基础知识领域内开设不少于4门的专业基础课程，在专业特色服务面向的基础知识领域内开设不少于1门的专业基础课程</w:t>
            </w:r>
          </w:p>
        </w:tc>
        <w:tc>
          <w:tcPr>
            <w:tcW w:w="3723" w:type="dxa"/>
            <w:tcBorders>
              <w:top w:val="single" w:color="auto" w:sz="4" w:space="0"/>
              <w:left w:val="single" w:color="auto" w:sz="4" w:space="0"/>
              <w:bottom w:val="single" w:color="auto" w:sz="4" w:space="0"/>
              <w:right w:val="single" w:color="auto" w:sz="4" w:space="0"/>
            </w:tcBorders>
            <w:vAlign w:val="center"/>
          </w:tcPr>
          <w:p w14:paraId="2365B5FE">
            <w:pPr>
              <w:pStyle w:val="30"/>
              <w:snapToGrid w:val="0"/>
              <w:spacing w:line="240" w:lineRule="auto"/>
              <w:rPr>
                <w:b w:val="0"/>
                <w:bCs/>
              </w:rPr>
            </w:pPr>
            <w:r>
              <w:rPr>
                <w:rFonts w:hint="eastAsia"/>
                <w:b w:val="0"/>
                <w:bCs/>
              </w:rPr>
              <w:t xml:space="preserve">在机械制图与计算机绘图、工程材料及热加工基础、机械设计基础、机械加工基础、公差配合与测量技术、电工电子技术、机械零件三维建模技术、液压与气压传动等专业基础知识领域内开设的专业基础课程的统计和审核材料 </w:t>
            </w:r>
          </w:p>
          <w:p w14:paraId="100390AB">
            <w:pPr>
              <w:pStyle w:val="30"/>
              <w:snapToGrid w:val="0"/>
              <w:spacing w:line="240" w:lineRule="auto"/>
              <w:rPr>
                <w:b w:val="0"/>
                <w:bCs/>
              </w:rPr>
            </w:pPr>
            <w:r>
              <w:rPr>
                <w:rFonts w:hint="eastAsia"/>
                <w:b w:val="0"/>
                <w:bCs/>
              </w:rPr>
              <w:t>在专业特色服务面向的基础知识领域内开设的专业基础课程的统计和审核材料</w:t>
            </w:r>
          </w:p>
        </w:tc>
        <w:tc>
          <w:tcPr>
            <w:tcW w:w="1445" w:type="dxa"/>
            <w:tcBorders>
              <w:top w:val="single" w:color="auto" w:sz="4" w:space="0"/>
              <w:left w:val="single" w:color="auto" w:sz="4" w:space="0"/>
              <w:bottom w:val="single" w:color="auto" w:sz="4" w:space="0"/>
              <w:right w:val="single" w:color="auto" w:sz="8" w:space="0"/>
            </w:tcBorders>
            <w:vAlign w:val="center"/>
          </w:tcPr>
          <w:p w14:paraId="73D196DB">
            <w:pPr>
              <w:adjustRightInd w:val="0"/>
              <w:snapToGrid w:val="0"/>
              <w:ind w:firstLine="0" w:firstLineChars="0"/>
              <w:jc w:val="center"/>
              <w:rPr>
                <w:rFonts w:hint="eastAsia"/>
              </w:rPr>
            </w:pPr>
            <w:r>
              <w:rPr>
                <w:rFonts w:hint="eastAsia"/>
              </w:rPr>
              <w:t>证据判断法</w:t>
            </w:r>
          </w:p>
        </w:tc>
      </w:tr>
      <w:tr w14:paraId="01AA57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7" w:type="dxa"/>
            <w:vMerge w:val="continue"/>
            <w:tcBorders>
              <w:left w:val="single" w:color="auto" w:sz="8" w:space="0"/>
              <w:right w:val="single" w:color="auto" w:sz="4" w:space="0"/>
            </w:tcBorders>
            <w:tcMar>
              <w:top w:w="57" w:type="dxa"/>
              <w:left w:w="108" w:type="dxa"/>
              <w:bottom w:w="57" w:type="dxa"/>
              <w:right w:w="108" w:type="dxa"/>
            </w:tcMar>
            <w:vAlign w:val="center"/>
          </w:tcPr>
          <w:p w14:paraId="5C9AA397">
            <w:pPr>
              <w:adjustRightInd w:val="0"/>
              <w:snapToGrid w:val="0"/>
              <w:ind w:firstLine="0" w:firstLineChars="0"/>
              <w:jc w:val="center"/>
              <w:rPr>
                <w:rFonts w:hint="eastAsia"/>
              </w:rPr>
            </w:pPr>
          </w:p>
        </w:tc>
        <w:tc>
          <w:tcPr>
            <w:tcW w:w="1361"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3382B31F">
            <w:pPr>
              <w:adjustRightInd w:val="0"/>
              <w:snapToGrid w:val="0"/>
              <w:ind w:firstLine="0" w:firstLineChars="0"/>
              <w:jc w:val="center"/>
              <w:rPr>
                <w:rFonts w:hint="eastAsia"/>
              </w:rPr>
            </w:pPr>
          </w:p>
        </w:tc>
        <w:tc>
          <w:tcPr>
            <w:tcW w:w="7681"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381E68E1">
            <w:pPr>
              <w:adjustRightInd w:val="0"/>
              <w:snapToGrid w:val="0"/>
              <w:rPr>
                <w:rFonts w:hint="eastAsia"/>
              </w:rPr>
            </w:pPr>
            <w:r>
              <w:rPr>
                <w:rFonts w:hint="eastAsia"/>
              </w:rPr>
              <w:t>制定依据：与《教育部职业教育专业教学标准-2025修（制）订》工程材料类专业要求符合</w:t>
            </w:r>
          </w:p>
        </w:tc>
      </w:tr>
      <w:tr w14:paraId="3A91CE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Merge w:val="continue"/>
            <w:tcBorders>
              <w:left w:val="single" w:color="auto" w:sz="8" w:space="0"/>
              <w:right w:val="single" w:color="auto" w:sz="4" w:space="0"/>
            </w:tcBorders>
            <w:vAlign w:val="center"/>
          </w:tcPr>
          <w:p w14:paraId="7EEDB7ED">
            <w:pPr>
              <w:adjustRightInd w:val="0"/>
              <w:snapToGrid w:val="0"/>
              <w:ind w:firstLine="0" w:firstLineChars="0"/>
              <w:jc w:val="center"/>
              <w:rPr>
                <w:rFonts w:hint="eastAsia"/>
              </w:rPr>
            </w:pPr>
          </w:p>
        </w:tc>
        <w:tc>
          <w:tcPr>
            <w:tcW w:w="1361"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00B5FB09">
            <w:pPr>
              <w:adjustRightInd w:val="0"/>
              <w:snapToGrid w:val="0"/>
              <w:ind w:firstLine="0" w:firstLineChars="0"/>
              <w:jc w:val="center"/>
              <w:rPr>
                <w:rFonts w:hint="eastAsia"/>
              </w:rPr>
            </w:pPr>
            <w:r>
              <w:rPr>
                <w:rFonts w:hint="eastAsia"/>
              </w:rPr>
              <w:t>4.6专业技能训练项目</w:t>
            </w:r>
          </w:p>
        </w:tc>
        <w:tc>
          <w:tcPr>
            <w:tcW w:w="251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06C318E">
            <w:pPr>
              <w:pStyle w:val="30"/>
              <w:snapToGrid w:val="0"/>
              <w:spacing w:line="240" w:lineRule="auto"/>
              <w:rPr>
                <w:b w:val="0"/>
                <w:bCs/>
              </w:rPr>
            </w:pPr>
            <w:r>
              <w:rPr>
                <w:rFonts w:hint="eastAsia"/>
                <w:b w:val="0"/>
                <w:bCs/>
              </w:rPr>
              <w:t>在钳、车、铣、磨、铸、锻、焊、热处理、金相分析、数字制图等专业基础技能训练领域内开设3项或以上基础技能训练项目</w:t>
            </w:r>
          </w:p>
        </w:tc>
        <w:tc>
          <w:tcPr>
            <w:tcW w:w="3723" w:type="dxa"/>
            <w:tcBorders>
              <w:top w:val="single" w:color="auto" w:sz="4" w:space="0"/>
              <w:left w:val="single" w:color="auto" w:sz="4" w:space="0"/>
              <w:bottom w:val="single" w:color="auto" w:sz="4" w:space="0"/>
              <w:right w:val="single" w:color="auto" w:sz="4" w:space="0"/>
            </w:tcBorders>
            <w:vAlign w:val="center"/>
          </w:tcPr>
          <w:p w14:paraId="31B5F1A6">
            <w:pPr>
              <w:pStyle w:val="30"/>
              <w:snapToGrid w:val="0"/>
              <w:spacing w:line="240" w:lineRule="auto"/>
              <w:rPr>
                <w:b w:val="0"/>
                <w:bCs/>
              </w:rPr>
            </w:pPr>
            <w:r>
              <w:rPr>
                <w:rFonts w:hint="eastAsia"/>
                <w:b w:val="0"/>
                <w:bCs/>
              </w:rPr>
              <w:t>在钳、车、铣、磨、铸、锻、焊、热处理、金相分析、数字制图等专业基础技能训练领域内开设的基础技能训练项目的统计和审核材料</w:t>
            </w:r>
          </w:p>
        </w:tc>
        <w:tc>
          <w:tcPr>
            <w:tcW w:w="1445" w:type="dxa"/>
            <w:tcBorders>
              <w:top w:val="single" w:color="auto" w:sz="4" w:space="0"/>
              <w:left w:val="single" w:color="auto" w:sz="4" w:space="0"/>
              <w:bottom w:val="single" w:color="auto" w:sz="4" w:space="0"/>
              <w:right w:val="single" w:color="auto" w:sz="8" w:space="0"/>
            </w:tcBorders>
            <w:vAlign w:val="center"/>
          </w:tcPr>
          <w:p w14:paraId="2C04432D">
            <w:pPr>
              <w:adjustRightInd w:val="0"/>
              <w:snapToGrid w:val="0"/>
              <w:ind w:firstLine="0" w:firstLineChars="0"/>
              <w:jc w:val="center"/>
              <w:rPr>
                <w:rFonts w:hint="eastAsia"/>
              </w:rPr>
            </w:pPr>
            <w:r>
              <w:rPr>
                <w:rFonts w:hint="eastAsia"/>
              </w:rPr>
              <w:t>证据判断法</w:t>
            </w:r>
          </w:p>
        </w:tc>
      </w:tr>
      <w:tr w14:paraId="048B24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7" w:type="dxa"/>
            <w:vMerge w:val="continue"/>
            <w:tcBorders>
              <w:left w:val="single" w:color="auto" w:sz="8" w:space="0"/>
              <w:bottom w:val="single" w:color="auto" w:sz="4" w:space="0"/>
              <w:right w:val="single" w:color="auto" w:sz="4" w:space="0"/>
            </w:tcBorders>
            <w:vAlign w:val="center"/>
          </w:tcPr>
          <w:p w14:paraId="06BDCDB9">
            <w:pPr>
              <w:adjustRightInd w:val="0"/>
              <w:snapToGrid w:val="0"/>
              <w:ind w:firstLine="0" w:firstLineChars="0"/>
              <w:jc w:val="center"/>
              <w:rPr>
                <w:rFonts w:hint="eastAsia"/>
              </w:rPr>
            </w:pPr>
          </w:p>
        </w:tc>
        <w:tc>
          <w:tcPr>
            <w:tcW w:w="1361"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3A89EC94">
            <w:pPr>
              <w:adjustRightInd w:val="0"/>
              <w:snapToGrid w:val="0"/>
              <w:ind w:firstLine="0" w:firstLineChars="0"/>
              <w:jc w:val="center"/>
              <w:rPr>
                <w:rFonts w:hint="eastAsia"/>
              </w:rPr>
            </w:pPr>
          </w:p>
        </w:tc>
        <w:tc>
          <w:tcPr>
            <w:tcW w:w="7681"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5845B059">
            <w:pPr>
              <w:adjustRightInd w:val="0"/>
              <w:snapToGrid w:val="0"/>
              <w:rPr>
                <w:rFonts w:hint="eastAsia"/>
              </w:rPr>
            </w:pPr>
            <w:r>
              <w:rPr>
                <w:rFonts w:hint="eastAsia"/>
              </w:rPr>
              <w:t>制定依据：与《教育部职业教育专业教学标准-2025修（制）订》工程材料类专业要求符合</w:t>
            </w:r>
          </w:p>
        </w:tc>
      </w:tr>
      <w:tr w14:paraId="64C974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Merge w:val="restart"/>
            <w:tcBorders>
              <w:top w:val="single" w:color="auto" w:sz="4" w:space="0"/>
              <w:left w:val="single" w:color="auto" w:sz="8" w:space="0"/>
              <w:right w:val="single" w:color="auto" w:sz="4" w:space="0"/>
            </w:tcBorders>
            <w:tcMar>
              <w:top w:w="57" w:type="dxa"/>
              <w:left w:w="108" w:type="dxa"/>
              <w:bottom w:w="57" w:type="dxa"/>
              <w:right w:w="108" w:type="dxa"/>
            </w:tcMar>
            <w:vAlign w:val="center"/>
          </w:tcPr>
          <w:p w14:paraId="68F942AC">
            <w:pPr>
              <w:adjustRightInd w:val="0"/>
              <w:snapToGrid w:val="0"/>
              <w:ind w:firstLine="0" w:firstLineChars="0"/>
              <w:jc w:val="center"/>
              <w:rPr>
                <w:rFonts w:hint="eastAsia"/>
              </w:rPr>
            </w:pPr>
            <w:r>
              <w:rPr>
                <w:rFonts w:hint="eastAsia"/>
              </w:rPr>
              <w:t>7 师资队伍</w:t>
            </w:r>
          </w:p>
        </w:tc>
        <w:tc>
          <w:tcPr>
            <w:tcW w:w="1361"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3D7FA184">
            <w:pPr>
              <w:adjustRightInd w:val="0"/>
              <w:snapToGrid w:val="0"/>
              <w:ind w:firstLine="0" w:firstLineChars="0"/>
              <w:jc w:val="center"/>
              <w:rPr>
                <w:rFonts w:hint="eastAsia"/>
              </w:rPr>
            </w:pPr>
            <w:r>
              <w:rPr>
                <w:rFonts w:hint="eastAsia"/>
              </w:rPr>
              <w:t>7.4专业教师学科背景</w:t>
            </w:r>
          </w:p>
        </w:tc>
        <w:tc>
          <w:tcPr>
            <w:tcW w:w="251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4642768">
            <w:pPr>
              <w:pStyle w:val="30"/>
              <w:snapToGrid w:val="0"/>
              <w:spacing w:line="240" w:lineRule="auto"/>
              <w:rPr>
                <w:b w:val="0"/>
                <w:bCs/>
              </w:rPr>
            </w:pPr>
            <w:r>
              <w:rPr>
                <w:rFonts w:hint="eastAsia"/>
                <w:b w:val="0"/>
                <w:bCs/>
                <w:color w:val="000000" w:themeColor="text1"/>
                <w14:textFill>
                  <w14:solidFill>
                    <w14:schemeClr w14:val="tx1"/>
                  </w14:solidFill>
                </w14:textFill>
              </w:rPr>
              <w:t>8</w:t>
            </w:r>
            <w:r>
              <w:rPr>
                <w:b w:val="0"/>
                <w:bCs/>
                <w:color w:val="000000" w:themeColor="text1"/>
                <w14:textFill>
                  <w14:solidFill>
                    <w14:schemeClr w14:val="tx1"/>
                  </w14:solidFill>
                </w14:textFill>
              </w:rPr>
              <w:t>0</w:t>
            </w:r>
            <w:r>
              <w:rPr>
                <w:rFonts w:hint="eastAsia"/>
                <w:b w:val="0"/>
                <w:bCs/>
                <w:color w:val="000000" w:themeColor="text1"/>
                <w14:textFill>
                  <w14:solidFill>
                    <w14:schemeClr w14:val="tx1"/>
                  </w14:solidFill>
                </w14:textFill>
              </w:rPr>
              <w:t>%专</w:t>
            </w:r>
            <w:r>
              <w:rPr>
                <w:rFonts w:hint="eastAsia"/>
                <w:b w:val="0"/>
                <w:bCs/>
              </w:rPr>
              <w:t>业教师在本科、硕士和博士三个学历阶段中，有一个阶段是工程材料技术类专业学历</w:t>
            </w:r>
          </w:p>
        </w:tc>
        <w:tc>
          <w:tcPr>
            <w:tcW w:w="3723" w:type="dxa"/>
            <w:tcBorders>
              <w:top w:val="single" w:color="auto" w:sz="4" w:space="0"/>
              <w:left w:val="single" w:color="auto" w:sz="4" w:space="0"/>
              <w:bottom w:val="single" w:color="auto" w:sz="4" w:space="0"/>
              <w:right w:val="single" w:color="auto" w:sz="4" w:space="0"/>
            </w:tcBorders>
            <w:vAlign w:val="center"/>
          </w:tcPr>
          <w:p w14:paraId="7148B48B">
            <w:pPr>
              <w:pStyle w:val="30"/>
              <w:snapToGrid w:val="0"/>
              <w:spacing w:line="240" w:lineRule="auto"/>
              <w:rPr>
                <w:b w:val="0"/>
                <w:bCs/>
              </w:rPr>
            </w:pPr>
            <w:r>
              <w:rPr>
                <w:rFonts w:hint="eastAsia"/>
                <w:b w:val="0"/>
                <w:bCs/>
              </w:rPr>
              <w:t>专业教师在本科、硕士和博士三个学历阶段中获得的工程材料技术类专业学历的统计和审核材料</w:t>
            </w:r>
          </w:p>
        </w:tc>
        <w:tc>
          <w:tcPr>
            <w:tcW w:w="1445" w:type="dxa"/>
            <w:tcBorders>
              <w:top w:val="single" w:color="auto" w:sz="4" w:space="0"/>
              <w:left w:val="single" w:color="auto" w:sz="4" w:space="0"/>
              <w:bottom w:val="single" w:color="auto" w:sz="4" w:space="0"/>
              <w:right w:val="single" w:color="auto" w:sz="8" w:space="0"/>
            </w:tcBorders>
            <w:vAlign w:val="center"/>
          </w:tcPr>
          <w:p w14:paraId="0D432AB1">
            <w:pPr>
              <w:adjustRightInd w:val="0"/>
              <w:snapToGrid w:val="0"/>
              <w:ind w:firstLine="0" w:firstLineChars="0"/>
              <w:jc w:val="center"/>
              <w:rPr>
                <w:rFonts w:hint="eastAsia"/>
              </w:rPr>
            </w:pPr>
            <w:r>
              <w:rPr>
                <w:rFonts w:hint="eastAsia"/>
              </w:rPr>
              <w:t>证据判断法</w:t>
            </w:r>
          </w:p>
        </w:tc>
      </w:tr>
      <w:tr w14:paraId="1C3207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Merge w:val="continue"/>
            <w:tcBorders>
              <w:left w:val="single" w:color="auto" w:sz="8" w:space="0"/>
              <w:right w:val="single" w:color="auto" w:sz="4" w:space="0"/>
            </w:tcBorders>
            <w:tcMar>
              <w:top w:w="57" w:type="dxa"/>
              <w:left w:w="108" w:type="dxa"/>
              <w:bottom w:w="57" w:type="dxa"/>
              <w:right w:w="108" w:type="dxa"/>
            </w:tcMar>
            <w:vAlign w:val="center"/>
          </w:tcPr>
          <w:p w14:paraId="1F95DEDD">
            <w:pPr>
              <w:adjustRightInd w:val="0"/>
              <w:snapToGrid w:val="0"/>
              <w:rPr>
                <w:rFonts w:hint="eastAsia"/>
              </w:rPr>
            </w:pPr>
          </w:p>
        </w:tc>
        <w:tc>
          <w:tcPr>
            <w:tcW w:w="1361"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5393992E">
            <w:pPr>
              <w:adjustRightInd w:val="0"/>
              <w:snapToGrid w:val="0"/>
              <w:ind w:firstLine="0" w:firstLineChars="0"/>
              <w:jc w:val="center"/>
              <w:rPr>
                <w:rFonts w:hint="eastAsia"/>
              </w:rPr>
            </w:pPr>
          </w:p>
        </w:tc>
        <w:tc>
          <w:tcPr>
            <w:tcW w:w="7681"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60684BD5">
            <w:pPr>
              <w:adjustRightInd w:val="0"/>
              <w:snapToGrid w:val="0"/>
              <w:rPr>
                <w:rFonts w:hint="eastAsia"/>
              </w:rPr>
            </w:pPr>
            <w:r>
              <w:rPr>
                <w:rFonts w:hint="eastAsia"/>
              </w:rPr>
              <w:t>制定依据：与机械行业高职院校专任教师招聘的学历准入标准调研的结论一致</w:t>
            </w:r>
          </w:p>
        </w:tc>
      </w:tr>
      <w:tr w14:paraId="1C78F7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7" w:type="dxa"/>
            <w:vMerge w:val="continue"/>
            <w:tcBorders>
              <w:left w:val="single" w:color="auto" w:sz="8" w:space="0"/>
              <w:right w:val="single" w:color="auto" w:sz="4" w:space="0"/>
            </w:tcBorders>
            <w:vAlign w:val="center"/>
          </w:tcPr>
          <w:p w14:paraId="464BA4D8">
            <w:pPr>
              <w:adjustRightInd w:val="0"/>
              <w:snapToGrid w:val="0"/>
              <w:rPr>
                <w:rFonts w:hint="eastAsia"/>
              </w:rPr>
            </w:pPr>
          </w:p>
        </w:tc>
        <w:tc>
          <w:tcPr>
            <w:tcW w:w="1361"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5EFFC078">
            <w:pPr>
              <w:adjustRightInd w:val="0"/>
              <w:snapToGrid w:val="0"/>
              <w:ind w:firstLine="0" w:firstLineChars="0"/>
              <w:jc w:val="center"/>
              <w:rPr>
                <w:rFonts w:hint="eastAsia"/>
              </w:rPr>
            </w:pPr>
            <w:r>
              <w:rPr>
                <w:rFonts w:hint="eastAsia"/>
              </w:rPr>
              <w:t>7.5专业教师技能要求</w:t>
            </w:r>
          </w:p>
        </w:tc>
        <w:tc>
          <w:tcPr>
            <w:tcW w:w="251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148798CF">
            <w:pPr>
              <w:pStyle w:val="30"/>
              <w:snapToGrid w:val="0"/>
              <w:spacing w:line="240" w:lineRule="auto"/>
              <w:rPr>
                <w:b w:val="0"/>
                <w:bCs/>
              </w:rPr>
            </w:pPr>
            <w:r>
              <w:rPr>
                <w:rFonts w:hint="eastAsia"/>
                <w:b w:val="0"/>
                <w:bCs/>
              </w:rPr>
              <w:t>从事专业教学三年及以上专业教师获得一个与专业相关或与授课课程相关的、公认的职业资格证书或技能等级证书</w:t>
            </w:r>
          </w:p>
        </w:tc>
        <w:tc>
          <w:tcPr>
            <w:tcW w:w="3723" w:type="dxa"/>
            <w:tcBorders>
              <w:top w:val="single" w:color="auto" w:sz="4" w:space="0"/>
              <w:left w:val="single" w:color="auto" w:sz="4" w:space="0"/>
              <w:bottom w:val="single" w:color="auto" w:sz="4" w:space="0"/>
              <w:right w:val="single" w:color="auto" w:sz="4" w:space="0"/>
            </w:tcBorders>
            <w:vAlign w:val="center"/>
          </w:tcPr>
          <w:p w14:paraId="30FDEF2D">
            <w:pPr>
              <w:pStyle w:val="30"/>
              <w:snapToGrid w:val="0"/>
              <w:spacing w:line="240" w:lineRule="auto"/>
              <w:rPr>
                <w:b w:val="0"/>
                <w:bCs/>
              </w:rPr>
            </w:pPr>
            <w:r>
              <w:rPr>
                <w:rFonts w:hint="eastAsia"/>
                <w:b w:val="0"/>
                <w:bCs/>
              </w:rPr>
              <w:t>专业教师获得的与专业相关或与授课课程相关的、公认的职业资格证书或技能等级证书的统计和审核材料</w:t>
            </w:r>
          </w:p>
        </w:tc>
        <w:tc>
          <w:tcPr>
            <w:tcW w:w="1445" w:type="dxa"/>
            <w:tcBorders>
              <w:top w:val="single" w:color="auto" w:sz="4" w:space="0"/>
              <w:left w:val="single" w:color="auto" w:sz="4" w:space="0"/>
              <w:bottom w:val="single" w:color="auto" w:sz="4" w:space="0"/>
              <w:right w:val="single" w:color="auto" w:sz="8" w:space="0"/>
            </w:tcBorders>
            <w:vAlign w:val="center"/>
          </w:tcPr>
          <w:p w14:paraId="18CD711C">
            <w:pPr>
              <w:adjustRightInd w:val="0"/>
              <w:snapToGrid w:val="0"/>
              <w:ind w:firstLine="0" w:firstLineChars="0"/>
              <w:jc w:val="center"/>
              <w:rPr>
                <w:rFonts w:hint="eastAsia"/>
              </w:rPr>
            </w:pPr>
            <w:r>
              <w:rPr>
                <w:rFonts w:hint="eastAsia"/>
              </w:rPr>
              <w:t>证据判断法</w:t>
            </w:r>
          </w:p>
        </w:tc>
      </w:tr>
      <w:tr w14:paraId="106E16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7" w:type="dxa"/>
            <w:vMerge w:val="continue"/>
            <w:tcBorders>
              <w:left w:val="single" w:color="auto" w:sz="8" w:space="0"/>
              <w:right w:val="single" w:color="auto" w:sz="4" w:space="0"/>
            </w:tcBorders>
            <w:vAlign w:val="center"/>
          </w:tcPr>
          <w:p w14:paraId="67CAD2EC">
            <w:pPr>
              <w:adjustRightInd w:val="0"/>
              <w:snapToGrid w:val="0"/>
              <w:rPr>
                <w:rFonts w:hint="eastAsia"/>
              </w:rPr>
            </w:pPr>
          </w:p>
        </w:tc>
        <w:tc>
          <w:tcPr>
            <w:tcW w:w="1361"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6B0A938E">
            <w:pPr>
              <w:adjustRightInd w:val="0"/>
              <w:snapToGrid w:val="0"/>
              <w:rPr>
                <w:rFonts w:hint="eastAsia"/>
              </w:rPr>
            </w:pPr>
          </w:p>
        </w:tc>
        <w:tc>
          <w:tcPr>
            <w:tcW w:w="7681"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0FCB970A">
            <w:pPr>
              <w:adjustRightInd w:val="0"/>
              <w:snapToGrid w:val="0"/>
              <w:rPr>
                <w:rFonts w:hint="eastAsia"/>
              </w:rPr>
            </w:pPr>
            <w:r>
              <w:rPr>
                <w:rFonts w:hint="eastAsia"/>
              </w:rPr>
              <w:t>制定依据：与《高等职业学校办学条件监测指标（试行）》四41条款符合</w:t>
            </w:r>
          </w:p>
        </w:tc>
      </w:tr>
      <w:tr w14:paraId="4C3557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7" w:type="dxa"/>
            <w:vMerge w:val="continue"/>
            <w:tcBorders>
              <w:left w:val="single" w:color="auto" w:sz="8" w:space="0"/>
              <w:right w:val="single" w:color="auto" w:sz="4" w:space="0"/>
            </w:tcBorders>
            <w:vAlign w:val="center"/>
          </w:tcPr>
          <w:p w14:paraId="6A568BE0">
            <w:pPr>
              <w:adjustRightInd w:val="0"/>
              <w:snapToGrid w:val="0"/>
              <w:rPr>
                <w:rFonts w:hint="eastAsia"/>
              </w:rPr>
            </w:pPr>
            <w:bookmarkStart w:id="6" w:name="_Hlk203130274"/>
          </w:p>
        </w:tc>
        <w:tc>
          <w:tcPr>
            <w:tcW w:w="1361"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1540F90E">
            <w:pPr>
              <w:adjustRightInd w:val="0"/>
              <w:snapToGrid w:val="0"/>
              <w:ind w:firstLine="0" w:firstLineChars="0"/>
              <w:jc w:val="center"/>
              <w:rPr>
                <w:rFonts w:hint="eastAsia"/>
              </w:rPr>
            </w:pPr>
            <w:r>
              <w:rPr>
                <w:rFonts w:hint="eastAsia"/>
              </w:rPr>
              <w:t>7.6企业导师</w:t>
            </w:r>
          </w:p>
        </w:tc>
        <w:tc>
          <w:tcPr>
            <w:tcW w:w="251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789F380B">
            <w:pPr>
              <w:pStyle w:val="30"/>
              <w:snapToGrid w:val="0"/>
              <w:spacing w:line="240" w:lineRule="auto"/>
              <w:rPr>
                <w:b w:val="0"/>
                <w:bCs/>
              </w:rPr>
            </w:pPr>
            <w:r>
              <w:rPr>
                <w:rFonts w:hint="eastAsia"/>
                <w:b w:val="0"/>
                <w:bCs/>
              </w:rPr>
              <w:t>聘</w:t>
            </w:r>
            <w:r>
              <w:rPr>
                <w:rFonts w:hint="eastAsia"/>
                <w:b w:val="0"/>
                <w:bCs/>
                <w:color w:val="000000" w:themeColor="text1"/>
                <w14:textFill>
                  <w14:solidFill>
                    <w14:schemeClr w14:val="tx1"/>
                  </w14:solidFill>
                </w14:textFill>
              </w:rPr>
              <w:t>用企业中与专业相关岗位工作的技术骨干为企业导师</w:t>
            </w:r>
          </w:p>
        </w:tc>
        <w:tc>
          <w:tcPr>
            <w:tcW w:w="3723" w:type="dxa"/>
            <w:tcBorders>
              <w:top w:val="single" w:color="auto" w:sz="4" w:space="0"/>
              <w:left w:val="single" w:color="auto" w:sz="4" w:space="0"/>
              <w:bottom w:val="single" w:color="auto" w:sz="4" w:space="0"/>
              <w:right w:val="single" w:color="auto" w:sz="4" w:space="0"/>
            </w:tcBorders>
            <w:vAlign w:val="center"/>
          </w:tcPr>
          <w:p w14:paraId="0F35F369">
            <w:pPr>
              <w:pStyle w:val="30"/>
              <w:snapToGrid w:val="0"/>
              <w:spacing w:line="240" w:lineRule="auto"/>
              <w:rPr>
                <w:b w:val="0"/>
                <w:bCs/>
              </w:rPr>
            </w:pPr>
            <w:r>
              <w:rPr>
                <w:rFonts w:hint="eastAsia"/>
                <w:b w:val="0"/>
                <w:bCs/>
              </w:rPr>
              <w:t xml:space="preserve">近三年聘用的企业导师聘用协议文本汇总材料 </w:t>
            </w:r>
          </w:p>
          <w:p w14:paraId="23C7CEE6">
            <w:pPr>
              <w:pStyle w:val="30"/>
              <w:snapToGrid w:val="0"/>
              <w:spacing w:line="240" w:lineRule="auto"/>
              <w:rPr>
                <w:b w:val="0"/>
                <w:bCs/>
              </w:rPr>
            </w:pPr>
            <w:r>
              <w:rPr>
                <w:rFonts w:hint="eastAsia"/>
                <w:b w:val="0"/>
                <w:bCs/>
              </w:rPr>
              <w:t xml:space="preserve">近三年聘用的企业导师的技术背景、岗位背景、个人基本信息材料 </w:t>
            </w:r>
          </w:p>
        </w:tc>
        <w:tc>
          <w:tcPr>
            <w:tcW w:w="1445" w:type="dxa"/>
            <w:tcBorders>
              <w:top w:val="single" w:color="auto" w:sz="4" w:space="0"/>
              <w:left w:val="single" w:color="auto" w:sz="4" w:space="0"/>
              <w:bottom w:val="single" w:color="auto" w:sz="4" w:space="0"/>
              <w:right w:val="single" w:color="auto" w:sz="8" w:space="0"/>
            </w:tcBorders>
            <w:vAlign w:val="center"/>
          </w:tcPr>
          <w:p w14:paraId="43591988">
            <w:pPr>
              <w:adjustRightInd w:val="0"/>
              <w:snapToGrid w:val="0"/>
              <w:ind w:firstLine="0" w:firstLineChars="0"/>
              <w:jc w:val="center"/>
              <w:rPr>
                <w:rFonts w:hint="eastAsia"/>
              </w:rPr>
            </w:pPr>
            <w:r>
              <w:rPr>
                <w:rFonts w:hint="eastAsia"/>
              </w:rPr>
              <w:t>证据判断法</w:t>
            </w:r>
          </w:p>
        </w:tc>
      </w:tr>
      <w:tr w14:paraId="49933F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7" w:type="dxa"/>
            <w:vMerge w:val="continue"/>
            <w:tcBorders>
              <w:left w:val="single" w:color="auto" w:sz="8" w:space="0"/>
              <w:right w:val="single" w:color="auto" w:sz="4" w:space="0"/>
            </w:tcBorders>
            <w:vAlign w:val="center"/>
          </w:tcPr>
          <w:p w14:paraId="35628667">
            <w:pPr>
              <w:adjustRightInd w:val="0"/>
              <w:snapToGrid w:val="0"/>
              <w:rPr>
                <w:rFonts w:hint="eastAsia"/>
              </w:rPr>
            </w:pPr>
          </w:p>
        </w:tc>
        <w:tc>
          <w:tcPr>
            <w:tcW w:w="1361" w:type="dxa"/>
            <w:vMerge w:val="continue"/>
            <w:tcBorders>
              <w:left w:val="single" w:color="auto" w:sz="4" w:space="0"/>
              <w:right w:val="single" w:color="auto" w:sz="4" w:space="0"/>
            </w:tcBorders>
            <w:tcMar>
              <w:top w:w="57" w:type="dxa"/>
              <w:left w:w="108" w:type="dxa"/>
              <w:bottom w:w="57" w:type="dxa"/>
              <w:right w:w="108" w:type="dxa"/>
            </w:tcMar>
            <w:vAlign w:val="center"/>
          </w:tcPr>
          <w:p w14:paraId="1FCAF310">
            <w:pPr>
              <w:adjustRightInd w:val="0"/>
              <w:snapToGrid w:val="0"/>
              <w:rPr>
                <w:rFonts w:hint="eastAsia"/>
              </w:rPr>
            </w:pPr>
          </w:p>
        </w:tc>
        <w:tc>
          <w:tcPr>
            <w:tcW w:w="7681"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47DB77E4">
            <w:pPr>
              <w:adjustRightInd w:val="0"/>
              <w:snapToGrid w:val="0"/>
              <w:rPr>
                <w:rFonts w:hint="eastAsia"/>
              </w:rPr>
            </w:pPr>
            <w:r>
              <w:rPr>
                <w:rFonts w:hint="eastAsia"/>
              </w:rPr>
              <w:t>制定依据：与《高等职业学校办学条件监测指标（试行）》五9（1）条款一致</w:t>
            </w:r>
          </w:p>
        </w:tc>
      </w:tr>
      <w:tr w14:paraId="224985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7" w:type="dxa"/>
            <w:vMerge w:val="continue"/>
            <w:tcBorders>
              <w:left w:val="single" w:color="auto" w:sz="8" w:space="0"/>
              <w:right w:val="single" w:color="auto" w:sz="4" w:space="0"/>
            </w:tcBorders>
            <w:vAlign w:val="center"/>
          </w:tcPr>
          <w:p w14:paraId="31041489">
            <w:pPr>
              <w:adjustRightInd w:val="0"/>
              <w:snapToGrid w:val="0"/>
              <w:rPr>
                <w:rFonts w:hint="eastAsia"/>
              </w:rPr>
            </w:pPr>
          </w:p>
        </w:tc>
        <w:tc>
          <w:tcPr>
            <w:tcW w:w="1361" w:type="dxa"/>
            <w:vMerge w:val="continue"/>
            <w:tcBorders>
              <w:left w:val="single" w:color="auto" w:sz="4" w:space="0"/>
              <w:right w:val="single" w:color="auto" w:sz="4" w:space="0"/>
            </w:tcBorders>
            <w:tcMar>
              <w:top w:w="57" w:type="dxa"/>
              <w:left w:w="108" w:type="dxa"/>
              <w:bottom w:w="57" w:type="dxa"/>
              <w:right w:w="108" w:type="dxa"/>
            </w:tcMar>
            <w:vAlign w:val="center"/>
          </w:tcPr>
          <w:p w14:paraId="04949CEC">
            <w:pPr>
              <w:adjustRightInd w:val="0"/>
              <w:snapToGrid w:val="0"/>
              <w:rPr>
                <w:rFonts w:hint="eastAsia"/>
              </w:rPr>
            </w:pPr>
          </w:p>
        </w:tc>
        <w:tc>
          <w:tcPr>
            <w:tcW w:w="251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454B258">
            <w:pPr>
              <w:snapToGrid w:val="0"/>
              <w:rPr>
                <w:rFonts w:hint="eastAsia"/>
                <w:bCs/>
              </w:rPr>
            </w:pPr>
            <w:r>
              <w:rPr>
                <w:rFonts w:hint="eastAsia"/>
                <w:bCs/>
              </w:rPr>
              <w:t>企业导师每学年任课量占专业课总教学工作量15%以上</w:t>
            </w:r>
          </w:p>
        </w:tc>
        <w:tc>
          <w:tcPr>
            <w:tcW w:w="3723" w:type="dxa"/>
            <w:tcBorders>
              <w:top w:val="single" w:color="auto" w:sz="4" w:space="0"/>
              <w:left w:val="single" w:color="auto" w:sz="4" w:space="0"/>
              <w:bottom w:val="single" w:color="auto" w:sz="4" w:space="0"/>
              <w:right w:val="single" w:color="auto" w:sz="4" w:space="0"/>
            </w:tcBorders>
            <w:vAlign w:val="center"/>
          </w:tcPr>
          <w:p w14:paraId="504AC50A">
            <w:pPr>
              <w:pStyle w:val="30"/>
              <w:snapToGrid w:val="0"/>
              <w:spacing w:line="240" w:lineRule="auto"/>
              <w:rPr>
                <w:b w:val="0"/>
                <w:bCs/>
              </w:rPr>
            </w:pPr>
            <w:r>
              <w:rPr>
                <w:rFonts w:hint="eastAsia"/>
                <w:b w:val="0"/>
                <w:bCs/>
              </w:rPr>
              <w:t xml:space="preserve">近三年企业导师每学年工作量报酬或合作协议、合同等凭证 </w:t>
            </w:r>
          </w:p>
          <w:p w14:paraId="5F760020">
            <w:pPr>
              <w:snapToGrid w:val="0"/>
              <w:rPr>
                <w:rFonts w:hint="eastAsia"/>
                <w:bCs/>
              </w:rPr>
            </w:pPr>
            <w:r>
              <w:rPr>
                <w:rFonts w:hint="eastAsia"/>
                <w:bCs/>
              </w:rPr>
              <w:t>近三年企业导师每学年任课量占专业总教学工作量比例的统计和审核材料</w:t>
            </w:r>
          </w:p>
        </w:tc>
        <w:tc>
          <w:tcPr>
            <w:tcW w:w="1445" w:type="dxa"/>
            <w:tcBorders>
              <w:top w:val="single" w:color="auto" w:sz="4" w:space="0"/>
              <w:left w:val="single" w:color="auto" w:sz="4" w:space="0"/>
              <w:bottom w:val="single" w:color="auto" w:sz="4" w:space="0"/>
              <w:right w:val="single" w:color="auto" w:sz="8" w:space="0"/>
            </w:tcBorders>
            <w:vAlign w:val="center"/>
          </w:tcPr>
          <w:p w14:paraId="4CEFB041">
            <w:pPr>
              <w:adjustRightInd w:val="0"/>
              <w:snapToGrid w:val="0"/>
              <w:ind w:firstLine="0" w:firstLineChars="0"/>
              <w:jc w:val="center"/>
              <w:rPr>
                <w:rFonts w:hint="eastAsia"/>
              </w:rPr>
            </w:pPr>
            <w:r>
              <w:rPr>
                <w:rFonts w:hint="eastAsia"/>
              </w:rPr>
              <w:t>证据判断法</w:t>
            </w:r>
          </w:p>
        </w:tc>
      </w:tr>
      <w:tr w14:paraId="7C232A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Merge w:val="continue"/>
            <w:tcBorders>
              <w:left w:val="single" w:color="auto" w:sz="8" w:space="0"/>
              <w:bottom w:val="single" w:color="auto" w:sz="4" w:space="0"/>
              <w:right w:val="single" w:color="auto" w:sz="4" w:space="0"/>
            </w:tcBorders>
            <w:vAlign w:val="center"/>
          </w:tcPr>
          <w:p w14:paraId="798AE28F">
            <w:pPr>
              <w:adjustRightInd w:val="0"/>
              <w:snapToGrid w:val="0"/>
              <w:rPr>
                <w:rFonts w:hint="eastAsia"/>
              </w:rPr>
            </w:pPr>
          </w:p>
        </w:tc>
        <w:tc>
          <w:tcPr>
            <w:tcW w:w="1361"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60228C1F">
            <w:pPr>
              <w:adjustRightInd w:val="0"/>
              <w:snapToGrid w:val="0"/>
              <w:rPr>
                <w:rFonts w:hint="eastAsia"/>
              </w:rPr>
            </w:pPr>
          </w:p>
        </w:tc>
        <w:tc>
          <w:tcPr>
            <w:tcW w:w="7681"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28666AFD">
            <w:pPr>
              <w:adjustRightInd w:val="0"/>
              <w:snapToGrid w:val="0"/>
              <w:rPr>
                <w:rFonts w:hint="eastAsia"/>
              </w:rPr>
            </w:pPr>
            <w:r>
              <w:rPr>
                <w:rFonts w:hint="eastAsia"/>
              </w:rPr>
              <w:t>制定依据：与《高等职业学校办学条件监测指标（试行）》四31条款一致</w:t>
            </w:r>
          </w:p>
        </w:tc>
      </w:tr>
      <w:bookmarkEnd w:id="5"/>
      <w:bookmarkEnd w:id="6"/>
    </w:tbl>
    <w:p w14:paraId="6C29F71B">
      <w:pPr>
        <w:pStyle w:val="5"/>
      </w:pPr>
      <w:bookmarkStart w:id="7" w:name="_Toc183164289"/>
      <w:r>
        <w:rPr>
          <w:rFonts w:hint="eastAsia"/>
        </w:rPr>
        <w:t>3.4 机电设备类专业补充评价要求制定依据</w:t>
      </w:r>
    </w:p>
    <w:p w14:paraId="20F9BE2C">
      <w:pPr>
        <w:adjustRightInd w:val="0"/>
        <w:snapToGrid w:val="0"/>
        <w:spacing w:line="360" w:lineRule="auto"/>
        <w:ind w:firstLine="420" w:firstLineChars="200"/>
        <w:rPr>
          <w:rFonts w:hint="eastAsia"/>
          <w:sz w:val="21"/>
          <w:szCs w:val="21"/>
        </w:rPr>
      </w:pPr>
      <w:r>
        <w:rPr>
          <w:rFonts w:hint="eastAsia"/>
          <w:sz w:val="21"/>
          <w:szCs w:val="21"/>
        </w:rPr>
        <w:t>机电设备类专业包括智能制造装备技术（专业代码460201）、机电设备技术（专业代码460202）、电机与电器技术（专业代码460203）、新能源装备技术（专业代码460204）、制冷与空调技术（专业代码460205）、电梯工程技术（专业代码460206）6个专业，补充评价要求判定基准的制定依据见表4。</w:t>
      </w:r>
    </w:p>
    <w:bookmarkEnd w:id="7"/>
    <w:p w14:paraId="28015F19">
      <w:pPr>
        <w:pStyle w:val="37"/>
        <w:numPr>
          <w:ilvl w:val="0"/>
          <w:numId w:val="1"/>
        </w:numPr>
        <w:tabs>
          <w:tab w:val="left" w:pos="0"/>
        </w:tabs>
        <w:adjustRightInd w:val="0"/>
        <w:snapToGrid w:val="0"/>
        <w:spacing w:before="156" w:after="156"/>
        <w:ind w:left="0"/>
        <w:rPr>
          <w:rFonts w:hint="eastAsia" w:hAnsi="黑体" w:cs="黑体"/>
          <w:szCs w:val="21"/>
        </w:rPr>
      </w:pPr>
      <w:bookmarkStart w:id="8" w:name="_Toc190358614"/>
      <w:r>
        <w:rPr>
          <w:rFonts w:hint="eastAsia" w:hAnsi="黑体" w:cs="黑体"/>
          <w:szCs w:val="21"/>
        </w:rPr>
        <w:t>机电设备类专业补充评价</w:t>
      </w:r>
      <w:bookmarkEnd w:id="8"/>
      <w:r>
        <w:rPr>
          <w:rFonts w:hint="eastAsia" w:hAnsi="黑体" w:cs="黑体"/>
          <w:szCs w:val="21"/>
        </w:rPr>
        <w:t>要求</w:t>
      </w:r>
    </w:p>
    <w:tbl>
      <w:tblPr>
        <w:tblStyle w:val="19"/>
        <w:tblW w:w="988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1334"/>
        <w:gridCol w:w="2498"/>
        <w:gridCol w:w="3764"/>
        <w:gridCol w:w="1363"/>
      </w:tblGrid>
      <w:tr w14:paraId="23652A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24" w:type="dxa"/>
            <w:tcBorders>
              <w:top w:val="single" w:color="auto" w:sz="8"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57AA1600">
            <w:pPr>
              <w:adjustRightInd w:val="0"/>
              <w:snapToGrid w:val="0"/>
              <w:ind w:firstLine="0" w:firstLineChars="0"/>
              <w:jc w:val="center"/>
              <w:rPr>
                <w:rFonts w:hint="eastAsia"/>
                <w:b/>
                <w:bCs/>
              </w:rPr>
            </w:pPr>
            <w:r>
              <w:rPr>
                <w:rFonts w:hint="eastAsia"/>
                <w:b/>
                <w:bCs/>
              </w:rPr>
              <w:t>一级</w:t>
            </w:r>
          </w:p>
          <w:p w14:paraId="331AE8A0">
            <w:pPr>
              <w:adjustRightInd w:val="0"/>
              <w:snapToGrid w:val="0"/>
              <w:ind w:firstLine="0" w:firstLineChars="0"/>
              <w:jc w:val="center"/>
              <w:rPr>
                <w:rFonts w:hint="eastAsia"/>
                <w:b/>
                <w:bCs/>
              </w:rPr>
            </w:pPr>
            <w:r>
              <w:rPr>
                <w:rFonts w:hint="eastAsia"/>
                <w:b/>
                <w:bCs/>
              </w:rPr>
              <w:t>指标</w:t>
            </w:r>
          </w:p>
        </w:tc>
        <w:tc>
          <w:tcPr>
            <w:tcW w:w="1334"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2A5B07CF">
            <w:pPr>
              <w:adjustRightInd w:val="0"/>
              <w:snapToGrid w:val="0"/>
              <w:ind w:firstLine="0" w:firstLineChars="0"/>
              <w:jc w:val="center"/>
              <w:rPr>
                <w:rFonts w:hint="eastAsia"/>
                <w:b/>
                <w:bCs/>
              </w:rPr>
            </w:pPr>
            <w:r>
              <w:rPr>
                <w:rFonts w:hint="eastAsia"/>
                <w:b/>
                <w:bCs/>
              </w:rPr>
              <w:t>二级指标</w:t>
            </w:r>
          </w:p>
        </w:tc>
        <w:tc>
          <w:tcPr>
            <w:tcW w:w="2498"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1476732">
            <w:pPr>
              <w:adjustRightInd w:val="0"/>
              <w:snapToGrid w:val="0"/>
              <w:ind w:firstLine="0" w:firstLineChars="0"/>
              <w:jc w:val="center"/>
              <w:rPr>
                <w:rFonts w:hint="eastAsia"/>
                <w:b/>
                <w:bCs/>
              </w:rPr>
            </w:pPr>
            <w:r>
              <w:rPr>
                <w:rFonts w:hint="eastAsia"/>
                <w:b/>
                <w:bCs/>
              </w:rPr>
              <w:t>判定基准</w:t>
            </w:r>
          </w:p>
        </w:tc>
        <w:tc>
          <w:tcPr>
            <w:tcW w:w="3764" w:type="dxa"/>
            <w:tcBorders>
              <w:top w:val="single" w:color="auto" w:sz="8" w:space="0"/>
              <w:left w:val="single" w:color="auto" w:sz="4" w:space="0"/>
              <w:bottom w:val="single" w:color="auto" w:sz="4" w:space="0"/>
              <w:right w:val="single" w:color="auto" w:sz="4" w:space="0"/>
            </w:tcBorders>
            <w:vAlign w:val="center"/>
          </w:tcPr>
          <w:p w14:paraId="2B4E9838">
            <w:pPr>
              <w:adjustRightInd w:val="0"/>
              <w:snapToGrid w:val="0"/>
              <w:ind w:firstLine="0" w:firstLineChars="0"/>
              <w:jc w:val="center"/>
              <w:rPr>
                <w:rFonts w:hint="eastAsia"/>
                <w:b/>
                <w:bCs/>
              </w:rPr>
            </w:pPr>
            <w:r>
              <w:rPr>
                <w:rFonts w:hint="eastAsia"/>
                <w:b/>
                <w:bCs/>
              </w:rPr>
              <w:t>判定依据</w:t>
            </w:r>
          </w:p>
          <w:p w14:paraId="013278E3">
            <w:pPr>
              <w:adjustRightInd w:val="0"/>
              <w:snapToGrid w:val="0"/>
              <w:ind w:firstLine="0" w:firstLineChars="0"/>
              <w:jc w:val="center"/>
              <w:rPr>
                <w:rFonts w:hint="eastAsia"/>
                <w:b/>
                <w:bCs/>
              </w:rPr>
            </w:pPr>
            <w:r>
              <w:rPr>
                <w:rFonts w:hint="eastAsia"/>
                <w:b/>
                <w:bCs/>
              </w:rPr>
              <w:t>（包含但不限于）</w:t>
            </w:r>
          </w:p>
        </w:tc>
        <w:tc>
          <w:tcPr>
            <w:tcW w:w="1363" w:type="dxa"/>
            <w:tcBorders>
              <w:top w:val="single" w:color="auto" w:sz="8" w:space="0"/>
              <w:left w:val="single" w:color="auto" w:sz="4" w:space="0"/>
              <w:bottom w:val="single" w:color="auto" w:sz="4" w:space="0"/>
              <w:right w:val="single" w:color="auto" w:sz="8" w:space="0"/>
            </w:tcBorders>
            <w:vAlign w:val="center"/>
          </w:tcPr>
          <w:p w14:paraId="08544198">
            <w:pPr>
              <w:adjustRightInd w:val="0"/>
              <w:snapToGrid w:val="0"/>
              <w:ind w:firstLine="0" w:firstLineChars="0"/>
              <w:jc w:val="center"/>
              <w:rPr>
                <w:rFonts w:hint="eastAsia"/>
                <w:b/>
                <w:bCs/>
              </w:rPr>
            </w:pPr>
            <w:r>
              <w:rPr>
                <w:rFonts w:hint="eastAsia"/>
                <w:b/>
                <w:bCs/>
              </w:rPr>
              <w:t>评价方法</w:t>
            </w:r>
          </w:p>
        </w:tc>
      </w:tr>
      <w:tr w14:paraId="690263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4" w:type="dxa"/>
            <w:vMerge w:val="restart"/>
            <w:tcBorders>
              <w:top w:val="single" w:color="auto" w:sz="4" w:space="0"/>
              <w:left w:val="single" w:color="auto" w:sz="8" w:space="0"/>
              <w:right w:val="single" w:color="auto" w:sz="4" w:space="0"/>
            </w:tcBorders>
            <w:tcMar>
              <w:top w:w="57" w:type="dxa"/>
              <w:left w:w="108" w:type="dxa"/>
              <w:bottom w:w="57" w:type="dxa"/>
              <w:right w:w="108" w:type="dxa"/>
            </w:tcMar>
            <w:vAlign w:val="center"/>
          </w:tcPr>
          <w:p w14:paraId="7B2F1388">
            <w:pPr>
              <w:adjustRightInd w:val="0"/>
              <w:snapToGrid w:val="0"/>
              <w:ind w:firstLine="0" w:firstLineChars="0"/>
              <w:jc w:val="center"/>
              <w:rPr>
                <w:rFonts w:hint="eastAsia"/>
              </w:rPr>
            </w:pPr>
            <w:r>
              <w:rPr>
                <w:rFonts w:hint="eastAsia"/>
              </w:rPr>
              <w:t>4 课程体系</w:t>
            </w:r>
          </w:p>
        </w:tc>
        <w:tc>
          <w:tcPr>
            <w:tcW w:w="1334"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580D50A0">
            <w:pPr>
              <w:adjustRightInd w:val="0"/>
              <w:snapToGrid w:val="0"/>
              <w:ind w:firstLine="0" w:firstLineChars="0"/>
              <w:jc w:val="center"/>
              <w:rPr>
                <w:rFonts w:hint="eastAsia"/>
              </w:rPr>
            </w:pPr>
            <w:r>
              <w:rPr>
                <w:rFonts w:hint="eastAsia"/>
              </w:rPr>
              <w:t>4.5专业基础知识领域</w:t>
            </w:r>
          </w:p>
        </w:tc>
        <w:tc>
          <w:tcPr>
            <w:tcW w:w="249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11DAECA9">
            <w:pPr>
              <w:pStyle w:val="30"/>
              <w:snapToGrid w:val="0"/>
              <w:spacing w:line="240" w:lineRule="auto"/>
              <w:rPr>
                <w:b w:val="0"/>
                <w:bCs/>
              </w:rPr>
            </w:pPr>
            <w:r>
              <w:rPr>
                <w:rFonts w:hint="eastAsia"/>
                <w:b w:val="0"/>
                <w:bCs/>
              </w:rPr>
              <w:t>在机械制图、机械设计基础、电工电子技术、公差配合与测量技术、电机与电气控制、可编程控制技术、液压与气压传动、传感器应用技术等专业基础知识领域内开设不少于4门的专业基础课程，在专业特色服务面向的基础知识领域内开设不少于1门的专业基础课程</w:t>
            </w:r>
          </w:p>
        </w:tc>
        <w:tc>
          <w:tcPr>
            <w:tcW w:w="3764" w:type="dxa"/>
            <w:tcBorders>
              <w:top w:val="single" w:color="auto" w:sz="4" w:space="0"/>
              <w:left w:val="single" w:color="auto" w:sz="4" w:space="0"/>
              <w:bottom w:val="single" w:color="auto" w:sz="4" w:space="0"/>
              <w:right w:val="single" w:color="auto" w:sz="4" w:space="0"/>
            </w:tcBorders>
            <w:vAlign w:val="center"/>
          </w:tcPr>
          <w:p w14:paraId="16B5BD67">
            <w:pPr>
              <w:pStyle w:val="30"/>
              <w:snapToGrid w:val="0"/>
              <w:spacing w:line="240" w:lineRule="auto"/>
              <w:rPr>
                <w:b w:val="0"/>
                <w:bCs/>
              </w:rPr>
            </w:pPr>
            <w:r>
              <w:rPr>
                <w:rFonts w:hint="eastAsia"/>
                <w:b w:val="0"/>
                <w:bCs/>
              </w:rPr>
              <w:t xml:space="preserve">在机械制图、机械设计基础、电工电子技术、公差配合与测量技术、电机与电气控制、可编程控制技术、液压与气压传动、传感器应用技术等专业基础知识领域内开设的专业基础课程数的统计和审核材料 </w:t>
            </w:r>
          </w:p>
          <w:p w14:paraId="552FE020">
            <w:pPr>
              <w:pStyle w:val="30"/>
              <w:snapToGrid w:val="0"/>
              <w:spacing w:line="240" w:lineRule="auto"/>
              <w:rPr>
                <w:b w:val="0"/>
                <w:bCs/>
              </w:rPr>
            </w:pPr>
            <w:r>
              <w:rPr>
                <w:rFonts w:hint="eastAsia"/>
                <w:b w:val="0"/>
                <w:bCs/>
              </w:rPr>
              <w:t>在专业特色服务面向的基础知识领域内开设的专业基础课程数的统计和审核材料</w:t>
            </w:r>
          </w:p>
        </w:tc>
        <w:tc>
          <w:tcPr>
            <w:tcW w:w="1363" w:type="dxa"/>
            <w:tcBorders>
              <w:top w:val="single" w:color="auto" w:sz="4" w:space="0"/>
              <w:left w:val="single" w:color="auto" w:sz="4" w:space="0"/>
              <w:bottom w:val="single" w:color="auto" w:sz="4" w:space="0"/>
              <w:right w:val="single" w:color="auto" w:sz="8" w:space="0"/>
            </w:tcBorders>
            <w:vAlign w:val="center"/>
          </w:tcPr>
          <w:p w14:paraId="28B5FEF2">
            <w:pPr>
              <w:adjustRightInd w:val="0"/>
              <w:snapToGrid w:val="0"/>
              <w:ind w:firstLine="0" w:firstLineChars="0"/>
              <w:jc w:val="center"/>
              <w:rPr>
                <w:rFonts w:hint="eastAsia"/>
              </w:rPr>
            </w:pPr>
            <w:r>
              <w:rPr>
                <w:rFonts w:hint="eastAsia"/>
              </w:rPr>
              <w:t>证据判断法</w:t>
            </w:r>
          </w:p>
        </w:tc>
      </w:tr>
      <w:tr w14:paraId="0D03AB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4" w:type="dxa"/>
            <w:vMerge w:val="continue"/>
            <w:tcBorders>
              <w:left w:val="single" w:color="auto" w:sz="8" w:space="0"/>
              <w:right w:val="single" w:color="auto" w:sz="4" w:space="0"/>
            </w:tcBorders>
            <w:tcMar>
              <w:top w:w="57" w:type="dxa"/>
              <w:left w:w="108" w:type="dxa"/>
              <w:bottom w:w="57" w:type="dxa"/>
              <w:right w:w="108" w:type="dxa"/>
            </w:tcMar>
            <w:vAlign w:val="center"/>
          </w:tcPr>
          <w:p w14:paraId="1BA2B5D3">
            <w:pPr>
              <w:adjustRightInd w:val="0"/>
              <w:snapToGrid w:val="0"/>
              <w:ind w:firstLine="0" w:firstLineChars="0"/>
              <w:jc w:val="center"/>
              <w:rPr>
                <w:rFonts w:hint="eastAsia"/>
              </w:rPr>
            </w:pPr>
          </w:p>
        </w:tc>
        <w:tc>
          <w:tcPr>
            <w:tcW w:w="1334"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4C260D49">
            <w:pPr>
              <w:adjustRightInd w:val="0"/>
              <w:snapToGrid w:val="0"/>
              <w:ind w:firstLine="0" w:firstLineChars="0"/>
              <w:jc w:val="center"/>
              <w:rPr>
                <w:rFonts w:hint="eastAsia"/>
              </w:rPr>
            </w:pPr>
          </w:p>
        </w:tc>
        <w:tc>
          <w:tcPr>
            <w:tcW w:w="7625"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6AD874BF">
            <w:pPr>
              <w:adjustRightInd w:val="0"/>
              <w:snapToGrid w:val="0"/>
              <w:rPr>
                <w:rFonts w:hint="eastAsia"/>
              </w:rPr>
            </w:pPr>
            <w:r>
              <w:rPr>
                <w:rFonts w:hint="eastAsia"/>
              </w:rPr>
              <w:t>制定依据：与《教育部职业教育专业教学标准-2025修（制）订》机电设备类专业要求符合</w:t>
            </w:r>
          </w:p>
        </w:tc>
      </w:tr>
      <w:tr w14:paraId="73B1E2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4" w:type="dxa"/>
            <w:vMerge w:val="continue"/>
            <w:tcBorders>
              <w:left w:val="single" w:color="auto" w:sz="8" w:space="0"/>
              <w:right w:val="single" w:color="auto" w:sz="4" w:space="0"/>
            </w:tcBorders>
            <w:vAlign w:val="center"/>
          </w:tcPr>
          <w:p w14:paraId="60CFF381">
            <w:pPr>
              <w:adjustRightInd w:val="0"/>
              <w:snapToGrid w:val="0"/>
              <w:ind w:firstLine="0" w:firstLineChars="0"/>
              <w:jc w:val="center"/>
              <w:rPr>
                <w:rFonts w:hint="eastAsia"/>
              </w:rPr>
            </w:pPr>
          </w:p>
        </w:tc>
        <w:tc>
          <w:tcPr>
            <w:tcW w:w="1334"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24BD74BB">
            <w:pPr>
              <w:adjustRightInd w:val="0"/>
              <w:snapToGrid w:val="0"/>
              <w:ind w:firstLine="0" w:firstLineChars="0"/>
              <w:jc w:val="center"/>
              <w:rPr>
                <w:rFonts w:hint="eastAsia"/>
              </w:rPr>
            </w:pPr>
            <w:r>
              <w:rPr>
                <w:rFonts w:hint="eastAsia"/>
              </w:rPr>
              <w:t>4.6专业技能训练项目</w:t>
            </w:r>
          </w:p>
        </w:tc>
        <w:tc>
          <w:tcPr>
            <w:tcW w:w="249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1333EDBF">
            <w:pPr>
              <w:pStyle w:val="30"/>
              <w:snapToGrid w:val="0"/>
              <w:spacing w:line="240" w:lineRule="auto"/>
              <w:rPr>
                <w:b w:val="0"/>
                <w:bCs/>
              </w:rPr>
            </w:pPr>
            <w:r>
              <w:rPr>
                <w:rFonts w:hint="eastAsia"/>
                <w:b w:val="0"/>
                <w:bCs/>
              </w:rPr>
              <w:t>在钳工、电工、电子、电气控制与PLC、液压与气动、机电设备装调与维护、数字制图等基础技能训练领域内开设3项或以上基础技能训练项目课程</w:t>
            </w:r>
          </w:p>
        </w:tc>
        <w:tc>
          <w:tcPr>
            <w:tcW w:w="3764" w:type="dxa"/>
            <w:tcBorders>
              <w:top w:val="single" w:color="auto" w:sz="4" w:space="0"/>
              <w:left w:val="single" w:color="auto" w:sz="4" w:space="0"/>
              <w:bottom w:val="single" w:color="auto" w:sz="4" w:space="0"/>
              <w:right w:val="single" w:color="auto" w:sz="4" w:space="0"/>
            </w:tcBorders>
            <w:vAlign w:val="center"/>
          </w:tcPr>
          <w:p w14:paraId="4A347A9F">
            <w:pPr>
              <w:pStyle w:val="30"/>
              <w:snapToGrid w:val="0"/>
              <w:spacing w:line="240" w:lineRule="auto"/>
              <w:rPr>
                <w:b w:val="0"/>
                <w:bCs/>
              </w:rPr>
            </w:pPr>
            <w:r>
              <w:rPr>
                <w:rFonts w:hint="eastAsia"/>
                <w:b w:val="0"/>
                <w:bCs/>
              </w:rPr>
              <w:t>在钳工、电工、电子、电气控制与PLC、液压与气动、机电设备装调与维护、数字制图等专业基础技能训练领域内开设的基础技能训练项目的统计和审核材料</w:t>
            </w:r>
          </w:p>
        </w:tc>
        <w:tc>
          <w:tcPr>
            <w:tcW w:w="1363" w:type="dxa"/>
            <w:tcBorders>
              <w:top w:val="single" w:color="auto" w:sz="4" w:space="0"/>
              <w:left w:val="single" w:color="auto" w:sz="4" w:space="0"/>
              <w:bottom w:val="single" w:color="auto" w:sz="4" w:space="0"/>
              <w:right w:val="single" w:color="auto" w:sz="8" w:space="0"/>
            </w:tcBorders>
            <w:vAlign w:val="center"/>
          </w:tcPr>
          <w:p w14:paraId="5A51157B">
            <w:pPr>
              <w:adjustRightInd w:val="0"/>
              <w:snapToGrid w:val="0"/>
              <w:ind w:firstLine="0" w:firstLineChars="0"/>
              <w:jc w:val="center"/>
              <w:rPr>
                <w:rFonts w:hint="eastAsia"/>
              </w:rPr>
            </w:pPr>
            <w:r>
              <w:rPr>
                <w:rFonts w:hint="eastAsia"/>
              </w:rPr>
              <w:t>证据判断法</w:t>
            </w:r>
          </w:p>
        </w:tc>
      </w:tr>
      <w:tr w14:paraId="4DA469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4" w:type="dxa"/>
            <w:vMerge w:val="continue"/>
            <w:tcBorders>
              <w:left w:val="single" w:color="auto" w:sz="8" w:space="0"/>
              <w:bottom w:val="single" w:color="auto" w:sz="4" w:space="0"/>
              <w:right w:val="single" w:color="auto" w:sz="4" w:space="0"/>
            </w:tcBorders>
            <w:vAlign w:val="center"/>
          </w:tcPr>
          <w:p w14:paraId="0A58B6DD">
            <w:pPr>
              <w:adjustRightInd w:val="0"/>
              <w:snapToGrid w:val="0"/>
              <w:ind w:firstLine="0" w:firstLineChars="0"/>
              <w:jc w:val="center"/>
              <w:rPr>
                <w:rFonts w:hint="eastAsia"/>
              </w:rPr>
            </w:pPr>
          </w:p>
        </w:tc>
        <w:tc>
          <w:tcPr>
            <w:tcW w:w="1334"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086C04E5">
            <w:pPr>
              <w:adjustRightInd w:val="0"/>
              <w:snapToGrid w:val="0"/>
              <w:ind w:firstLine="0" w:firstLineChars="0"/>
              <w:jc w:val="center"/>
              <w:rPr>
                <w:rFonts w:hint="eastAsia"/>
              </w:rPr>
            </w:pPr>
          </w:p>
        </w:tc>
        <w:tc>
          <w:tcPr>
            <w:tcW w:w="7625"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3304790B">
            <w:pPr>
              <w:adjustRightInd w:val="0"/>
              <w:snapToGrid w:val="0"/>
              <w:rPr>
                <w:rFonts w:hint="eastAsia"/>
              </w:rPr>
            </w:pPr>
            <w:r>
              <w:rPr>
                <w:rFonts w:hint="eastAsia"/>
              </w:rPr>
              <w:t>制定依据：与《教育部职业教育专业教学标准-2025修（制）订》机电设备类专业要求符合</w:t>
            </w:r>
          </w:p>
        </w:tc>
      </w:tr>
      <w:tr w14:paraId="1A5939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4" w:type="dxa"/>
            <w:vMerge w:val="restart"/>
            <w:tcBorders>
              <w:top w:val="single" w:color="auto" w:sz="4" w:space="0"/>
              <w:left w:val="single" w:color="auto" w:sz="8" w:space="0"/>
              <w:right w:val="single" w:color="auto" w:sz="4" w:space="0"/>
            </w:tcBorders>
            <w:tcMar>
              <w:top w:w="57" w:type="dxa"/>
              <w:left w:w="108" w:type="dxa"/>
              <w:bottom w:w="57" w:type="dxa"/>
              <w:right w:w="108" w:type="dxa"/>
            </w:tcMar>
            <w:vAlign w:val="center"/>
          </w:tcPr>
          <w:p w14:paraId="37629B97">
            <w:pPr>
              <w:adjustRightInd w:val="0"/>
              <w:snapToGrid w:val="0"/>
              <w:ind w:firstLine="0" w:firstLineChars="0"/>
              <w:jc w:val="center"/>
              <w:rPr>
                <w:rFonts w:hint="eastAsia"/>
              </w:rPr>
            </w:pPr>
            <w:r>
              <w:rPr>
                <w:rFonts w:hint="eastAsia"/>
              </w:rPr>
              <w:t>7 师资队伍</w:t>
            </w:r>
          </w:p>
        </w:tc>
        <w:tc>
          <w:tcPr>
            <w:tcW w:w="1334"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5CF7BFF4">
            <w:pPr>
              <w:adjustRightInd w:val="0"/>
              <w:snapToGrid w:val="0"/>
              <w:ind w:firstLine="0" w:firstLineChars="0"/>
              <w:jc w:val="center"/>
              <w:rPr>
                <w:rFonts w:hint="eastAsia"/>
              </w:rPr>
            </w:pPr>
            <w:r>
              <w:rPr>
                <w:rFonts w:hint="eastAsia"/>
              </w:rPr>
              <w:t>7.4专业教师学科背景</w:t>
            </w:r>
          </w:p>
        </w:tc>
        <w:tc>
          <w:tcPr>
            <w:tcW w:w="249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278BD426">
            <w:pPr>
              <w:pStyle w:val="30"/>
              <w:snapToGrid w:val="0"/>
              <w:spacing w:line="240" w:lineRule="auto"/>
              <w:rPr>
                <w:b w:val="0"/>
                <w:bCs/>
              </w:rPr>
            </w:pPr>
            <w:r>
              <w:rPr>
                <w:rFonts w:hint="eastAsia"/>
                <w:b w:val="0"/>
                <w:bCs/>
              </w:rPr>
              <w:t>8</w:t>
            </w:r>
            <w:r>
              <w:rPr>
                <w:b w:val="0"/>
                <w:bCs/>
              </w:rPr>
              <w:t>0</w:t>
            </w:r>
            <w:r>
              <w:rPr>
                <w:rFonts w:hint="eastAsia"/>
                <w:b w:val="0"/>
                <w:bCs/>
              </w:rPr>
              <w:t>%专业教师在本科、硕士和博士三个学历阶段中，有一个阶段是机电设备类专业学历</w:t>
            </w:r>
          </w:p>
        </w:tc>
        <w:tc>
          <w:tcPr>
            <w:tcW w:w="3764" w:type="dxa"/>
            <w:tcBorders>
              <w:top w:val="single" w:color="auto" w:sz="4" w:space="0"/>
              <w:left w:val="single" w:color="auto" w:sz="4" w:space="0"/>
              <w:bottom w:val="single" w:color="auto" w:sz="4" w:space="0"/>
              <w:right w:val="single" w:color="auto" w:sz="4" w:space="0"/>
            </w:tcBorders>
            <w:vAlign w:val="center"/>
          </w:tcPr>
          <w:p w14:paraId="3A568DD9">
            <w:pPr>
              <w:pStyle w:val="30"/>
              <w:snapToGrid w:val="0"/>
              <w:spacing w:line="240" w:lineRule="auto"/>
              <w:rPr>
                <w:b w:val="0"/>
                <w:bCs/>
              </w:rPr>
            </w:pPr>
            <w:r>
              <w:rPr>
                <w:rFonts w:hint="eastAsia"/>
                <w:b w:val="0"/>
                <w:bCs/>
              </w:rPr>
              <w:t>专业教师在本科、硕士和博士三个学历阶段中获得的机电设备类专业学历的统计和审核材料</w:t>
            </w:r>
          </w:p>
        </w:tc>
        <w:tc>
          <w:tcPr>
            <w:tcW w:w="1363" w:type="dxa"/>
            <w:tcBorders>
              <w:top w:val="single" w:color="auto" w:sz="4" w:space="0"/>
              <w:left w:val="single" w:color="auto" w:sz="4" w:space="0"/>
              <w:bottom w:val="single" w:color="auto" w:sz="4" w:space="0"/>
              <w:right w:val="single" w:color="auto" w:sz="8" w:space="0"/>
            </w:tcBorders>
            <w:vAlign w:val="center"/>
          </w:tcPr>
          <w:p w14:paraId="258C81B8">
            <w:pPr>
              <w:adjustRightInd w:val="0"/>
              <w:snapToGrid w:val="0"/>
              <w:ind w:firstLine="0" w:firstLineChars="0"/>
              <w:jc w:val="center"/>
              <w:rPr>
                <w:rFonts w:hint="eastAsia"/>
              </w:rPr>
            </w:pPr>
            <w:r>
              <w:rPr>
                <w:rFonts w:hint="eastAsia"/>
              </w:rPr>
              <w:t>证据判断法</w:t>
            </w:r>
          </w:p>
        </w:tc>
      </w:tr>
      <w:tr w14:paraId="45C6FB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4" w:type="dxa"/>
            <w:vMerge w:val="continue"/>
            <w:tcBorders>
              <w:left w:val="single" w:color="auto" w:sz="8" w:space="0"/>
              <w:right w:val="single" w:color="auto" w:sz="4" w:space="0"/>
            </w:tcBorders>
            <w:tcMar>
              <w:top w:w="57" w:type="dxa"/>
              <w:left w:w="108" w:type="dxa"/>
              <w:bottom w:w="57" w:type="dxa"/>
              <w:right w:w="108" w:type="dxa"/>
            </w:tcMar>
            <w:vAlign w:val="center"/>
          </w:tcPr>
          <w:p w14:paraId="6BEE6CF4">
            <w:pPr>
              <w:adjustRightInd w:val="0"/>
              <w:snapToGrid w:val="0"/>
              <w:rPr>
                <w:rFonts w:hint="eastAsia"/>
              </w:rPr>
            </w:pPr>
          </w:p>
        </w:tc>
        <w:tc>
          <w:tcPr>
            <w:tcW w:w="1334"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34D6C68D">
            <w:pPr>
              <w:adjustRightInd w:val="0"/>
              <w:snapToGrid w:val="0"/>
              <w:ind w:firstLine="0" w:firstLineChars="0"/>
              <w:jc w:val="center"/>
              <w:rPr>
                <w:rFonts w:hint="eastAsia"/>
              </w:rPr>
            </w:pPr>
          </w:p>
        </w:tc>
        <w:tc>
          <w:tcPr>
            <w:tcW w:w="7625"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2E8BD715">
            <w:pPr>
              <w:adjustRightInd w:val="0"/>
              <w:snapToGrid w:val="0"/>
              <w:rPr>
                <w:rFonts w:hint="eastAsia"/>
              </w:rPr>
            </w:pPr>
            <w:r>
              <w:rPr>
                <w:rFonts w:hint="eastAsia"/>
              </w:rPr>
              <w:t>制定依据：与机械行业高职院校专任教师招聘的学历准入标准调研的结论一致</w:t>
            </w:r>
          </w:p>
        </w:tc>
      </w:tr>
      <w:tr w14:paraId="11A41E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4" w:type="dxa"/>
            <w:vMerge w:val="continue"/>
            <w:tcBorders>
              <w:left w:val="single" w:color="auto" w:sz="8" w:space="0"/>
              <w:right w:val="single" w:color="auto" w:sz="4" w:space="0"/>
            </w:tcBorders>
            <w:vAlign w:val="center"/>
          </w:tcPr>
          <w:p w14:paraId="7DAC14AC">
            <w:pPr>
              <w:adjustRightInd w:val="0"/>
              <w:snapToGrid w:val="0"/>
              <w:rPr>
                <w:rFonts w:hint="eastAsia"/>
              </w:rPr>
            </w:pPr>
          </w:p>
        </w:tc>
        <w:tc>
          <w:tcPr>
            <w:tcW w:w="1334"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4DA21840">
            <w:pPr>
              <w:adjustRightInd w:val="0"/>
              <w:snapToGrid w:val="0"/>
              <w:ind w:firstLine="0" w:firstLineChars="0"/>
              <w:jc w:val="center"/>
              <w:rPr>
                <w:rFonts w:hint="eastAsia"/>
              </w:rPr>
            </w:pPr>
            <w:r>
              <w:rPr>
                <w:rFonts w:hint="eastAsia"/>
              </w:rPr>
              <w:t>7.5专业教师技能要求</w:t>
            </w:r>
          </w:p>
        </w:tc>
        <w:tc>
          <w:tcPr>
            <w:tcW w:w="249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E891C33">
            <w:pPr>
              <w:pStyle w:val="30"/>
              <w:snapToGrid w:val="0"/>
              <w:spacing w:line="240" w:lineRule="auto"/>
              <w:rPr>
                <w:b w:val="0"/>
                <w:bCs/>
              </w:rPr>
            </w:pPr>
            <w:r>
              <w:rPr>
                <w:rFonts w:hint="eastAsia"/>
                <w:b w:val="0"/>
                <w:bCs/>
              </w:rPr>
              <w:t>专业教师获得一个与专业相关或与授课课程相关的、公认的职业资格证书或技能等级证书</w:t>
            </w:r>
          </w:p>
        </w:tc>
        <w:tc>
          <w:tcPr>
            <w:tcW w:w="3764" w:type="dxa"/>
            <w:tcBorders>
              <w:top w:val="single" w:color="auto" w:sz="4" w:space="0"/>
              <w:left w:val="single" w:color="auto" w:sz="4" w:space="0"/>
              <w:bottom w:val="single" w:color="auto" w:sz="4" w:space="0"/>
              <w:right w:val="single" w:color="auto" w:sz="4" w:space="0"/>
            </w:tcBorders>
            <w:vAlign w:val="center"/>
          </w:tcPr>
          <w:p w14:paraId="4D0BBF45">
            <w:pPr>
              <w:pStyle w:val="30"/>
              <w:snapToGrid w:val="0"/>
              <w:spacing w:line="240" w:lineRule="auto"/>
              <w:rPr>
                <w:b w:val="0"/>
                <w:bCs/>
              </w:rPr>
            </w:pPr>
            <w:r>
              <w:rPr>
                <w:rFonts w:hint="eastAsia"/>
                <w:b w:val="0"/>
                <w:bCs/>
              </w:rPr>
              <w:t>专业教师获得的与专业相关或与授课课程相关的、公认的职业资格证书或技能等级证书的统计和审核材料</w:t>
            </w:r>
          </w:p>
        </w:tc>
        <w:tc>
          <w:tcPr>
            <w:tcW w:w="1363" w:type="dxa"/>
            <w:tcBorders>
              <w:top w:val="single" w:color="auto" w:sz="4" w:space="0"/>
              <w:left w:val="single" w:color="auto" w:sz="4" w:space="0"/>
              <w:bottom w:val="single" w:color="auto" w:sz="4" w:space="0"/>
              <w:right w:val="single" w:color="auto" w:sz="8" w:space="0"/>
            </w:tcBorders>
            <w:vAlign w:val="center"/>
          </w:tcPr>
          <w:p w14:paraId="56B5A5BD">
            <w:pPr>
              <w:adjustRightInd w:val="0"/>
              <w:snapToGrid w:val="0"/>
              <w:ind w:firstLine="0" w:firstLineChars="0"/>
              <w:jc w:val="center"/>
              <w:rPr>
                <w:rFonts w:hint="eastAsia"/>
              </w:rPr>
            </w:pPr>
            <w:r>
              <w:rPr>
                <w:rFonts w:hint="eastAsia"/>
              </w:rPr>
              <w:t>证据判断法</w:t>
            </w:r>
          </w:p>
        </w:tc>
      </w:tr>
      <w:tr w14:paraId="3AD676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4" w:type="dxa"/>
            <w:vMerge w:val="continue"/>
            <w:tcBorders>
              <w:left w:val="single" w:color="auto" w:sz="8" w:space="0"/>
              <w:right w:val="single" w:color="auto" w:sz="4" w:space="0"/>
            </w:tcBorders>
            <w:vAlign w:val="center"/>
          </w:tcPr>
          <w:p w14:paraId="60266802">
            <w:pPr>
              <w:adjustRightInd w:val="0"/>
              <w:snapToGrid w:val="0"/>
              <w:rPr>
                <w:rFonts w:hint="eastAsia"/>
              </w:rPr>
            </w:pPr>
          </w:p>
        </w:tc>
        <w:tc>
          <w:tcPr>
            <w:tcW w:w="1334"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3C70EF64">
            <w:pPr>
              <w:adjustRightInd w:val="0"/>
              <w:snapToGrid w:val="0"/>
              <w:ind w:firstLine="0" w:firstLineChars="0"/>
              <w:jc w:val="center"/>
              <w:rPr>
                <w:rFonts w:hint="eastAsia"/>
              </w:rPr>
            </w:pPr>
          </w:p>
        </w:tc>
        <w:tc>
          <w:tcPr>
            <w:tcW w:w="7625"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539CA0ED">
            <w:pPr>
              <w:adjustRightInd w:val="0"/>
              <w:snapToGrid w:val="0"/>
              <w:rPr>
                <w:rFonts w:hint="eastAsia"/>
              </w:rPr>
            </w:pPr>
            <w:r>
              <w:rPr>
                <w:rFonts w:hint="eastAsia"/>
              </w:rPr>
              <w:t>制定依据：与《高等职业学校办学条件监测指标（试行）》四 41条款符合</w:t>
            </w:r>
          </w:p>
        </w:tc>
      </w:tr>
      <w:tr w14:paraId="3F55B2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4" w:type="dxa"/>
            <w:vMerge w:val="continue"/>
            <w:tcBorders>
              <w:left w:val="single" w:color="auto" w:sz="8" w:space="0"/>
              <w:right w:val="single" w:color="auto" w:sz="4" w:space="0"/>
            </w:tcBorders>
            <w:vAlign w:val="center"/>
          </w:tcPr>
          <w:p w14:paraId="508D9EA9">
            <w:pPr>
              <w:adjustRightInd w:val="0"/>
              <w:snapToGrid w:val="0"/>
              <w:rPr>
                <w:rFonts w:hint="eastAsia"/>
              </w:rPr>
            </w:pPr>
          </w:p>
        </w:tc>
        <w:tc>
          <w:tcPr>
            <w:tcW w:w="1334"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640CAB22">
            <w:pPr>
              <w:adjustRightInd w:val="0"/>
              <w:snapToGrid w:val="0"/>
              <w:ind w:firstLine="0" w:firstLineChars="0"/>
              <w:jc w:val="center"/>
              <w:rPr>
                <w:rFonts w:hint="eastAsia"/>
              </w:rPr>
            </w:pPr>
            <w:r>
              <w:rPr>
                <w:rFonts w:hint="eastAsia"/>
              </w:rPr>
              <w:t>7.6企业导师</w:t>
            </w:r>
          </w:p>
        </w:tc>
        <w:tc>
          <w:tcPr>
            <w:tcW w:w="249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50E2D36">
            <w:pPr>
              <w:pStyle w:val="30"/>
              <w:snapToGrid w:val="0"/>
              <w:spacing w:line="240" w:lineRule="auto"/>
              <w:rPr>
                <w:b w:val="0"/>
                <w:bCs/>
              </w:rPr>
            </w:pPr>
            <w:r>
              <w:rPr>
                <w:rFonts w:hint="eastAsia"/>
                <w:b w:val="0"/>
                <w:bCs/>
              </w:rPr>
              <w:t>聘</w:t>
            </w:r>
            <w:r>
              <w:rPr>
                <w:rFonts w:hint="eastAsia"/>
                <w:b w:val="0"/>
                <w:bCs/>
                <w:color w:val="000000" w:themeColor="text1"/>
                <w14:textFill>
                  <w14:solidFill>
                    <w14:schemeClr w14:val="tx1"/>
                  </w14:solidFill>
                </w14:textFill>
              </w:rPr>
              <w:t>用企业中与专业相关岗位工作的技术骨干为企业导师</w:t>
            </w:r>
          </w:p>
        </w:tc>
        <w:tc>
          <w:tcPr>
            <w:tcW w:w="3764" w:type="dxa"/>
            <w:tcBorders>
              <w:top w:val="single" w:color="auto" w:sz="4" w:space="0"/>
              <w:left w:val="single" w:color="auto" w:sz="4" w:space="0"/>
              <w:bottom w:val="single" w:color="auto" w:sz="4" w:space="0"/>
              <w:right w:val="single" w:color="auto" w:sz="4" w:space="0"/>
            </w:tcBorders>
            <w:vAlign w:val="center"/>
          </w:tcPr>
          <w:p w14:paraId="1BE9661B">
            <w:pPr>
              <w:pStyle w:val="30"/>
              <w:snapToGrid w:val="0"/>
              <w:spacing w:line="240" w:lineRule="auto"/>
              <w:rPr>
                <w:b w:val="0"/>
                <w:bCs/>
              </w:rPr>
            </w:pPr>
            <w:r>
              <w:rPr>
                <w:rFonts w:hint="eastAsia"/>
                <w:b w:val="0"/>
                <w:bCs/>
              </w:rPr>
              <w:t xml:space="preserve">近三年聘用的企业导师聘用协议文本汇总材料 </w:t>
            </w:r>
          </w:p>
          <w:p w14:paraId="63FEEC74">
            <w:pPr>
              <w:pStyle w:val="30"/>
              <w:snapToGrid w:val="0"/>
              <w:spacing w:line="240" w:lineRule="auto"/>
              <w:rPr>
                <w:b w:val="0"/>
                <w:bCs/>
              </w:rPr>
            </w:pPr>
            <w:r>
              <w:rPr>
                <w:rFonts w:hint="eastAsia"/>
                <w:b w:val="0"/>
                <w:bCs/>
              </w:rPr>
              <w:t xml:space="preserve">近三年聘用的企业导师的技术背景、岗位背景、个人基本信息材料 </w:t>
            </w:r>
          </w:p>
        </w:tc>
        <w:tc>
          <w:tcPr>
            <w:tcW w:w="1363" w:type="dxa"/>
            <w:tcBorders>
              <w:top w:val="single" w:color="auto" w:sz="4" w:space="0"/>
              <w:left w:val="single" w:color="auto" w:sz="4" w:space="0"/>
              <w:bottom w:val="single" w:color="auto" w:sz="4" w:space="0"/>
              <w:right w:val="single" w:color="auto" w:sz="8" w:space="0"/>
            </w:tcBorders>
            <w:vAlign w:val="center"/>
          </w:tcPr>
          <w:p w14:paraId="45C20564">
            <w:pPr>
              <w:adjustRightInd w:val="0"/>
              <w:snapToGrid w:val="0"/>
              <w:ind w:firstLine="0" w:firstLineChars="0"/>
              <w:jc w:val="center"/>
              <w:rPr>
                <w:rFonts w:hint="eastAsia"/>
              </w:rPr>
            </w:pPr>
            <w:r>
              <w:rPr>
                <w:rFonts w:hint="eastAsia"/>
              </w:rPr>
              <w:t>证据判断法</w:t>
            </w:r>
          </w:p>
        </w:tc>
      </w:tr>
      <w:tr w14:paraId="4B25A4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4" w:type="dxa"/>
            <w:vMerge w:val="continue"/>
            <w:tcBorders>
              <w:left w:val="single" w:color="auto" w:sz="8" w:space="0"/>
              <w:right w:val="single" w:color="auto" w:sz="4" w:space="0"/>
            </w:tcBorders>
            <w:vAlign w:val="center"/>
          </w:tcPr>
          <w:p w14:paraId="55B59A60">
            <w:pPr>
              <w:adjustRightInd w:val="0"/>
              <w:snapToGrid w:val="0"/>
              <w:rPr>
                <w:rFonts w:hint="eastAsia"/>
              </w:rPr>
            </w:pPr>
          </w:p>
        </w:tc>
        <w:tc>
          <w:tcPr>
            <w:tcW w:w="1334" w:type="dxa"/>
            <w:vMerge w:val="continue"/>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32F03FCC">
            <w:pPr>
              <w:adjustRightInd w:val="0"/>
              <w:snapToGrid w:val="0"/>
              <w:rPr>
                <w:rFonts w:hint="eastAsia"/>
              </w:rPr>
            </w:pPr>
          </w:p>
        </w:tc>
        <w:tc>
          <w:tcPr>
            <w:tcW w:w="7625"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45CC56AA">
            <w:pPr>
              <w:adjustRightInd w:val="0"/>
              <w:snapToGrid w:val="0"/>
              <w:rPr>
                <w:rFonts w:hint="eastAsia"/>
              </w:rPr>
            </w:pPr>
            <w:r>
              <w:rPr>
                <w:rFonts w:hint="eastAsia"/>
              </w:rPr>
              <w:t>制定依据：与《高等职业学校办学条件监测指标（试行）》五 9 （1）条款一致</w:t>
            </w:r>
          </w:p>
        </w:tc>
      </w:tr>
      <w:tr w14:paraId="69A1D6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4" w:type="dxa"/>
            <w:vMerge w:val="continue"/>
            <w:tcBorders>
              <w:left w:val="single" w:color="auto" w:sz="8" w:space="0"/>
              <w:right w:val="single" w:color="auto" w:sz="4" w:space="0"/>
            </w:tcBorders>
            <w:vAlign w:val="center"/>
          </w:tcPr>
          <w:p w14:paraId="7E298B67">
            <w:pPr>
              <w:adjustRightInd w:val="0"/>
              <w:snapToGrid w:val="0"/>
              <w:rPr>
                <w:rFonts w:hint="eastAsia"/>
              </w:rPr>
            </w:pPr>
          </w:p>
        </w:tc>
        <w:tc>
          <w:tcPr>
            <w:tcW w:w="1334" w:type="dxa"/>
            <w:vMerge w:val="continue"/>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1AD5E33C">
            <w:pPr>
              <w:adjustRightInd w:val="0"/>
              <w:snapToGrid w:val="0"/>
              <w:rPr>
                <w:rFonts w:hint="eastAsia"/>
              </w:rPr>
            </w:pPr>
          </w:p>
        </w:tc>
        <w:tc>
          <w:tcPr>
            <w:tcW w:w="249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1A7B2F2B">
            <w:pPr>
              <w:snapToGrid w:val="0"/>
              <w:rPr>
                <w:rFonts w:hint="eastAsia"/>
                <w:bCs/>
              </w:rPr>
            </w:pPr>
            <w:r>
              <w:rPr>
                <w:rFonts w:hint="eastAsia"/>
                <w:bCs/>
              </w:rPr>
              <w:t>企业导师每学年任课量占专业总教学工作量15%以上</w:t>
            </w:r>
          </w:p>
        </w:tc>
        <w:tc>
          <w:tcPr>
            <w:tcW w:w="3764" w:type="dxa"/>
            <w:tcBorders>
              <w:top w:val="single" w:color="auto" w:sz="4" w:space="0"/>
              <w:left w:val="single" w:color="auto" w:sz="4" w:space="0"/>
              <w:bottom w:val="single" w:color="auto" w:sz="4" w:space="0"/>
              <w:right w:val="single" w:color="auto" w:sz="4" w:space="0"/>
            </w:tcBorders>
            <w:vAlign w:val="center"/>
          </w:tcPr>
          <w:p w14:paraId="02CD4B35">
            <w:pPr>
              <w:pStyle w:val="30"/>
              <w:snapToGrid w:val="0"/>
              <w:spacing w:line="240" w:lineRule="auto"/>
              <w:rPr>
                <w:b w:val="0"/>
                <w:bCs/>
              </w:rPr>
            </w:pPr>
            <w:r>
              <w:rPr>
                <w:rFonts w:hint="eastAsia"/>
                <w:b w:val="0"/>
                <w:bCs/>
              </w:rPr>
              <w:t xml:space="preserve">近三年企业导师每学年任课工作量报酬或合作协议、合同等凭证 </w:t>
            </w:r>
          </w:p>
          <w:p w14:paraId="18CAE7C7">
            <w:pPr>
              <w:snapToGrid w:val="0"/>
              <w:rPr>
                <w:rFonts w:hint="eastAsia"/>
                <w:bCs/>
              </w:rPr>
            </w:pPr>
            <w:r>
              <w:rPr>
                <w:rFonts w:hint="eastAsia"/>
                <w:bCs/>
              </w:rPr>
              <w:t>近三年企业导师每学年任课量占专业总教学工作量比例的统计和审核材料</w:t>
            </w:r>
          </w:p>
        </w:tc>
        <w:tc>
          <w:tcPr>
            <w:tcW w:w="1363" w:type="dxa"/>
            <w:tcBorders>
              <w:top w:val="single" w:color="auto" w:sz="4" w:space="0"/>
              <w:left w:val="single" w:color="auto" w:sz="4" w:space="0"/>
              <w:bottom w:val="single" w:color="auto" w:sz="4" w:space="0"/>
              <w:right w:val="single" w:color="auto" w:sz="8" w:space="0"/>
            </w:tcBorders>
            <w:vAlign w:val="center"/>
          </w:tcPr>
          <w:p w14:paraId="3B2A87A0">
            <w:pPr>
              <w:adjustRightInd w:val="0"/>
              <w:snapToGrid w:val="0"/>
              <w:ind w:firstLine="0" w:firstLineChars="0"/>
              <w:jc w:val="center"/>
              <w:rPr>
                <w:rFonts w:hint="eastAsia"/>
              </w:rPr>
            </w:pPr>
            <w:r>
              <w:rPr>
                <w:rFonts w:hint="eastAsia"/>
              </w:rPr>
              <w:t>证据判断法</w:t>
            </w:r>
          </w:p>
        </w:tc>
      </w:tr>
      <w:tr w14:paraId="2E150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4" w:type="dxa"/>
            <w:vMerge w:val="continue"/>
            <w:tcBorders>
              <w:left w:val="single" w:color="auto" w:sz="8" w:space="0"/>
              <w:bottom w:val="single" w:color="auto" w:sz="4" w:space="0"/>
              <w:right w:val="single" w:color="auto" w:sz="4" w:space="0"/>
            </w:tcBorders>
            <w:vAlign w:val="center"/>
          </w:tcPr>
          <w:p w14:paraId="00BA2981">
            <w:pPr>
              <w:adjustRightInd w:val="0"/>
              <w:snapToGrid w:val="0"/>
              <w:rPr>
                <w:rFonts w:hint="eastAsia"/>
              </w:rPr>
            </w:pPr>
          </w:p>
        </w:tc>
        <w:tc>
          <w:tcPr>
            <w:tcW w:w="1334"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00D6E1BB">
            <w:pPr>
              <w:adjustRightInd w:val="0"/>
              <w:snapToGrid w:val="0"/>
              <w:rPr>
                <w:rFonts w:hint="eastAsia"/>
              </w:rPr>
            </w:pPr>
          </w:p>
        </w:tc>
        <w:tc>
          <w:tcPr>
            <w:tcW w:w="7625"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4E9E6853">
            <w:pPr>
              <w:adjustRightInd w:val="0"/>
              <w:snapToGrid w:val="0"/>
              <w:rPr>
                <w:rFonts w:hint="eastAsia"/>
              </w:rPr>
            </w:pPr>
            <w:r>
              <w:rPr>
                <w:rFonts w:hint="eastAsia"/>
              </w:rPr>
              <w:t>制定依据：与《高等职业学校办学条件监测指标（试行）》四 31条款一致</w:t>
            </w:r>
          </w:p>
        </w:tc>
      </w:tr>
    </w:tbl>
    <w:p w14:paraId="79056C0D">
      <w:pPr>
        <w:pStyle w:val="5"/>
      </w:pPr>
      <w:r>
        <w:rPr>
          <w:rFonts w:hint="eastAsia"/>
        </w:rPr>
        <w:t>3.5 自动化类专业补充评价要求制定依据</w:t>
      </w:r>
    </w:p>
    <w:p w14:paraId="600F2362">
      <w:pPr>
        <w:adjustRightInd w:val="0"/>
        <w:snapToGrid w:val="0"/>
        <w:spacing w:line="360" w:lineRule="auto"/>
        <w:ind w:firstLine="420" w:firstLineChars="200"/>
        <w:rPr>
          <w:rFonts w:hint="eastAsia"/>
          <w:sz w:val="21"/>
          <w:szCs w:val="21"/>
        </w:rPr>
      </w:pPr>
      <w:r>
        <w:rPr>
          <w:rFonts w:hint="eastAsia"/>
          <w:sz w:val="21"/>
          <w:szCs w:val="21"/>
        </w:rPr>
        <w:t>自动化类专业包括机电一体化技术（专业代码460301）、智能机电技术（专业代码460302）、智能控制技术（专业代码460303）、智能机器人技术（专业代码460304）、工业过程自动化技术（专业代码460305）、电气自动化技术（专业代码460306）、工业机器人技术（专业代码460307）、工业自动化仪表技术（专业代码460308）、液压与气动技术（专业代码460309）9个专业，补充评价要求判定基准的制定依据见表5。</w:t>
      </w:r>
    </w:p>
    <w:p w14:paraId="3FCD5FC3">
      <w:pPr>
        <w:pStyle w:val="37"/>
        <w:numPr>
          <w:ilvl w:val="0"/>
          <w:numId w:val="1"/>
        </w:numPr>
        <w:tabs>
          <w:tab w:val="left" w:pos="0"/>
        </w:tabs>
        <w:adjustRightInd w:val="0"/>
        <w:snapToGrid w:val="0"/>
        <w:spacing w:before="156" w:after="156"/>
        <w:ind w:left="0"/>
        <w:rPr>
          <w:rFonts w:hint="eastAsia" w:hAnsi="黑体" w:cs="黑体"/>
          <w:szCs w:val="21"/>
        </w:rPr>
      </w:pPr>
      <w:bookmarkStart w:id="9" w:name="_Toc190358615"/>
      <w:r>
        <w:rPr>
          <w:rFonts w:hint="eastAsia" w:hAnsi="黑体" w:cs="黑体"/>
          <w:szCs w:val="21"/>
        </w:rPr>
        <w:t>自动化类专业补充评价</w:t>
      </w:r>
      <w:bookmarkEnd w:id="9"/>
      <w:r>
        <w:rPr>
          <w:rFonts w:hint="eastAsia" w:hAnsi="黑体" w:cs="黑体"/>
          <w:szCs w:val="21"/>
        </w:rPr>
        <w:t>要求制定依据</w:t>
      </w:r>
    </w:p>
    <w:tbl>
      <w:tblPr>
        <w:tblStyle w:val="19"/>
        <w:tblW w:w="995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1418"/>
        <w:gridCol w:w="2468"/>
        <w:gridCol w:w="3844"/>
        <w:gridCol w:w="1323"/>
      </w:tblGrid>
      <w:tr w14:paraId="1A77DA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899" w:type="dxa"/>
            <w:tcBorders>
              <w:top w:val="single" w:color="auto" w:sz="8"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44DF8AAA">
            <w:pPr>
              <w:adjustRightInd w:val="0"/>
              <w:snapToGrid w:val="0"/>
              <w:ind w:firstLine="0" w:firstLineChars="0"/>
              <w:jc w:val="center"/>
              <w:rPr>
                <w:rFonts w:hint="eastAsia"/>
                <w:b/>
                <w:bCs/>
              </w:rPr>
            </w:pPr>
            <w:bookmarkStart w:id="10" w:name="_Toc183164291"/>
            <w:r>
              <w:rPr>
                <w:rFonts w:hint="eastAsia"/>
                <w:b/>
                <w:bCs/>
              </w:rPr>
              <w:t>一级</w:t>
            </w:r>
          </w:p>
          <w:p w14:paraId="4ED778E5">
            <w:pPr>
              <w:adjustRightInd w:val="0"/>
              <w:snapToGrid w:val="0"/>
              <w:ind w:firstLine="0" w:firstLineChars="0"/>
              <w:jc w:val="center"/>
              <w:rPr>
                <w:rFonts w:hint="eastAsia"/>
                <w:b/>
                <w:bCs/>
              </w:rPr>
            </w:pPr>
            <w:r>
              <w:rPr>
                <w:rFonts w:hint="eastAsia"/>
                <w:b/>
                <w:bCs/>
              </w:rPr>
              <w:t>指标</w:t>
            </w:r>
          </w:p>
        </w:tc>
        <w:tc>
          <w:tcPr>
            <w:tcW w:w="1418"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3B45BA90">
            <w:pPr>
              <w:adjustRightInd w:val="0"/>
              <w:snapToGrid w:val="0"/>
              <w:ind w:firstLine="0" w:firstLineChars="0"/>
              <w:jc w:val="center"/>
              <w:rPr>
                <w:rFonts w:hint="eastAsia"/>
                <w:b/>
                <w:bCs/>
              </w:rPr>
            </w:pPr>
            <w:r>
              <w:rPr>
                <w:rFonts w:hint="eastAsia"/>
                <w:b/>
                <w:bCs/>
              </w:rPr>
              <w:t>二级指标</w:t>
            </w:r>
          </w:p>
        </w:tc>
        <w:tc>
          <w:tcPr>
            <w:tcW w:w="2468"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7D130A30">
            <w:pPr>
              <w:adjustRightInd w:val="0"/>
              <w:snapToGrid w:val="0"/>
              <w:ind w:firstLine="0" w:firstLineChars="0"/>
              <w:jc w:val="center"/>
              <w:rPr>
                <w:rFonts w:hint="eastAsia"/>
                <w:b/>
                <w:bCs/>
              </w:rPr>
            </w:pPr>
            <w:r>
              <w:rPr>
                <w:rFonts w:hint="eastAsia"/>
                <w:b/>
                <w:bCs/>
              </w:rPr>
              <w:t>判定基准</w:t>
            </w:r>
          </w:p>
        </w:tc>
        <w:tc>
          <w:tcPr>
            <w:tcW w:w="3844" w:type="dxa"/>
            <w:tcBorders>
              <w:top w:val="single" w:color="auto" w:sz="8" w:space="0"/>
              <w:left w:val="single" w:color="auto" w:sz="4" w:space="0"/>
              <w:bottom w:val="single" w:color="auto" w:sz="4" w:space="0"/>
              <w:right w:val="single" w:color="auto" w:sz="4" w:space="0"/>
            </w:tcBorders>
            <w:vAlign w:val="center"/>
          </w:tcPr>
          <w:p w14:paraId="5E7AD882">
            <w:pPr>
              <w:adjustRightInd w:val="0"/>
              <w:snapToGrid w:val="0"/>
              <w:ind w:firstLine="0" w:firstLineChars="0"/>
              <w:jc w:val="center"/>
              <w:rPr>
                <w:rFonts w:hint="eastAsia"/>
                <w:b/>
                <w:bCs/>
              </w:rPr>
            </w:pPr>
            <w:r>
              <w:rPr>
                <w:rFonts w:hint="eastAsia"/>
                <w:b/>
                <w:bCs/>
              </w:rPr>
              <w:t>判定依据</w:t>
            </w:r>
          </w:p>
          <w:p w14:paraId="29D0E3D8">
            <w:pPr>
              <w:adjustRightInd w:val="0"/>
              <w:snapToGrid w:val="0"/>
              <w:ind w:firstLine="0" w:firstLineChars="0"/>
              <w:jc w:val="center"/>
              <w:rPr>
                <w:rFonts w:hint="eastAsia"/>
                <w:b/>
                <w:bCs/>
              </w:rPr>
            </w:pPr>
            <w:r>
              <w:rPr>
                <w:rFonts w:hint="eastAsia"/>
                <w:b/>
                <w:bCs/>
              </w:rPr>
              <w:t>（包含但不限于）</w:t>
            </w:r>
          </w:p>
        </w:tc>
        <w:tc>
          <w:tcPr>
            <w:tcW w:w="1323" w:type="dxa"/>
            <w:tcBorders>
              <w:top w:val="single" w:color="auto" w:sz="8" w:space="0"/>
              <w:left w:val="single" w:color="auto" w:sz="4" w:space="0"/>
              <w:bottom w:val="single" w:color="auto" w:sz="4" w:space="0"/>
              <w:right w:val="single" w:color="auto" w:sz="8" w:space="0"/>
            </w:tcBorders>
            <w:vAlign w:val="center"/>
          </w:tcPr>
          <w:p w14:paraId="4DC1AF88">
            <w:pPr>
              <w:adjustRightInd w:val="0"/>
              <w:snapToGrid w:val="0"/>
              <w:ind w:firstLine="0" w:firstLineChars="0"/>
              <w:jc w:val="center"/>
              <w:rPr>
                <w:rFonts w:hint="eastAsia"/>
                <w:b/>
                <w:bCs/>
              </w:rPr>
            </w:pPr>
            <w:r>
              <w:rPr>
                <w:rFonts w:hint="eastAsia"/>
                <w:b/>
                <w:bCs/>
              </w:rPr>
              <w:t>评价取值方法</w:t>
            </w:r>
          </w:p>
        </w:tc>
      </w:tr>
      <w:tr w14:paraId="01D68C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9" w:type="dxa"/>
            <w:vMerge w:val="restart"/>
            <w:tcBorders>
              <w:top w:val="single" w:color="auto" w:sz="4" w:space="0"/>
              <w:left w:val="single" w:color="auto" w:sz="8" w:space="0"/>
              <w:right w:val="single" w:color="auto" w:sz="4" w:space="0"/>
            </w:tcBorders>
            <w:tcMar>
              <w:top w:w="57" w:type="dxa"/>
              <w:left w:w="108" w:type="dxa"/>
              <w:bottom w:w="57" w:type="dxa"/>
              <w:right w:w="108" w:type="dxa"/>
            </w:tcMar>
            <w:vAlign w:val="center"/>
          </w:tcPr>
          <w:p w14:paraId="0318C294">
            <w:pPr>
              <w:adjustRightInd w:val="0"/>
              <w:snapToGrid w:val="0"/>
              <w:ind w:firstLine="0" w:firstLineChars="0"/>
              <w:jc w:val="center"/>
              <w:rPr>
                <w:rFonts w:hint="eastAsia"/>
              </w:rPr>
            </w:pPr>
            <w:r>
              <w:rPr>
                <w:rFonts w:hint="eastAsia"/>
              </w:rPr>
              <w:t>4 课程体系</w:t>
            </w:r>
          </w:p>
        </w:tc>
        <w:tc>
          <w:tcPr>
            <w:tcW w:w="1418"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67ED50C0">
            <w:pPr>
              <w:adjustRightInd w:val="0"/>
              <w:snapToGrid w:val="0"/>
              <w:ind w:firstLine="0" w:firstLineChars="0"/>
              <w:jc w:val="center"/>
              <w:rPr>
                <w:rFonts w:hint="eastAsia"/>
              </w:rPr>
            </w:pPr>
            <w:r>
              <w:rPr>
                <w:rFonts w:hint="eastAsia"/>
              </w:rPr>
              <w:t>4.5专业基础知识领域</w:t>
            </w:r>
          </w:p>
        </w:tc>
        <w:tc>
          <w:tcPr>
            <w:tcW w:w="246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163FBD4E">
            <w:pPr>
              <w:pStyle w:val="30"/>
              <w:snapToGrid w:val="0"/>
              <w:spacing w:line="240" w:lineRule="auto"/>
              <w:rPr>
                <w:b w:val="0"/>
                <w:bCs/>
              </w:rPr>
            </w:pPr>
            <w:r>
              <w:rPr>
                <w:rFonts w:hint="eastAsia"/>
                <w:b w:val="0"/>
                <w:bCs/>
              </w:rPr>
              <w:t>在机械制图、机械基础、电工技术、电子技术、电机与电气控制技术、程序设计语言、传感器与检测技术、液压与气压传动、人工智能等专业基础知识领域内开设不少于4门专业基础课程，在专业特色服务面向的基础知识领域内开设不少于1门专业基础课程</w:t>
            </w:r>
          </w:p>
        </w:tc>
        <w:tc>
          <w:tcPr>
            <w:tcW w:w="3844" w:type="dxa"/>
            <w:tcBorders>
              <w:top w:val="single" w:color="auto" w:sz="4" w:space="0"/>
              <w:left w:val="single" w:color="auto" w:sz="4" w:space="0"/>
              <w:bottom w:val="single" w:color="auto" w:sz="4" w:space="0"/>
              <w:right w:val="single" w:color="auto" w:sz="4" w:space="0"/>
            </w:tcBorders>
            <w:vAlign w:val="center"/>
          </w:tcPr>
          <w:p w14:paraId="264E24DE">
            <w:pPr>
              <w:pStyle w:val="30"/>
              <w:snapToGrid w:val="0"/>
              <w:spacing w:line="240" w:lineRule="auto"/>
              <w:rPr>
                <w:b w:val="0"/>
                <w:bCs/>
              </w:rPr>
            </w:pPr>
            <w:r>
              <w:rPr>
                <w:rFonts w:hint="eastAsia"/>
                <w:b w:val="0"/>
                <w:bCs/>
              </w:rPr>
              <w:t xml:space="preserve">在机械制图、机械基础、电工技术、电子技术、电机与电气控制技术、程序设计语言、传感器与检测技术、液压与气压传动、人工智能等专业基础知识领域内开设的专业基础课程数的统计和审核材料 </w:t>
            </w:r>
          </w:p>
          <w:p w14:paraId="1EE90FB9">
            <w:pPr>
              <w:pStyle w:val="30"/>
              <w:snapToGrid w:val="0"/>
              <w:spacing w:line="240" w:lineRule="auto"/>
              <w:rPr>
                <w:b w:val="0"/>
                <w:bCs/>
              </w:rPr>
            </w:pPr>
            <w:r>
              <w:rPr>
                <w:rFonts w:hint="eastAsia"/>
                <w:b w:val="0"/>
                <w:bCs/>
              </w:rPr>
              <w:t>在专业特色服务面向的基础知识领域内开设的专业基础课程数的统计和审核材料</w:t>
            </w:r>
          </w:p>
        </w:tc>
        <w:tc>
          <w:tcPr>
            <w:tcW w:w="1323" w:type="dxa"/>
            <w:tcBorders>
              <w:top w:val="single" w:color="auto" w:sz="4" w:space="0"/>
              <w:left w:val="single" w:color="auto" w:sz="4" w:space="0"/>
              <w:bottom w:val="single" w:color="auto" w:sz="4" w:space="0"/>
              <w:right w:val="single" w:color="auto" w:sz="8" w:space="0"/>
            </w:tcBorders>
            <w:vAlign w:val="center"/>
          </w:tcPr>
          <w:p w14:paraId="6E0CF316">
            <w:pPr>
              <w:adjustRightInd w:val="0"/>
              <w:snapToGrid w:val="0"/>
              <w:ind w:firstLine="0" w:firstLineChars="0"/>
              <w:jc w:val="center"/>
              <w:rPr>
                <w:rFonts w:hint="eastAsia"/>
              </w:rPr>
            </w:pPr>
            <w:r>
              <w:rPr>
                <w:rFonts w:hint="eastAsia"/>
              </w:rPr>
              <w:t>证据判断法</w:t>
            </w:r>
          </w:p>
        </w:tc>
      </w:tr>
      <w:tr w14:paraId="71B207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9" w:type="dxa"/>
            <w:vMerge w:val="continue"/>
            <w:tcBorders>
              <w:left w:val="single" w:color="auto" w:sz="8" w:space="0"/>
              <w:right w:val="single" w:color="auto" w:sz="4" w:space="0"/>
            </w:tcBorders>
            <w:tcMar>
              <w:top w:w="57" w:type="dxa"/>
              <w:left w:w="108" w:type="dxa"/>
              <w:bottom w:w="57" w:type="dxa"/>
              <w:right w:w="108" w:type="dxa"/>
            </w:tcMar>
            <w:vAlign w:val="center"/>
          </w:tcPr>
          <w:p w14:paraId="1EE28209">
            <w:pPr>
              <w:adjustRightInd w:val="0"/>
              <w:snapToGrid w:val="0"/>
              <w:ind w:firstLine="0" w:firstLineChars="0"/>
              <w:jc w:val="center"/>
              <w:rPr>
                <w:rFonts w:hint="eastAsia"/>
              </w:rPr>
            </w:pPr>
          </w:p>
        </w:tc>
        <w:tc>
          <w:tcPr>
            <w:tcW w:w="1418"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72A35668">
            <w:pPr>
              <w:adjustRightInd w:val="0"/>
              <w:snapToGrid w:val="0"/>
              <w:ind w:firstLine="0" w:firstLineChars="0"/>
              <w:jc w:val="center"/>
              <w:rPr>
                <w:rFonts w:hint="eastAsia"/>
              </w:rPr>
            </w:pPr>
          </w:p>
        </w:tc>
        <w:tc>
          <w:tcPr>
            <w:tcW w:w="7635"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7F36BB07">
            <w:pPr>
              <w:adjustRightInd w:val="0"/>
              <w:snapToGrid w:val="0"/>
              <w:rPr>
                <w:rFonts w:hint="eastAsia"/>
              </w:rPr>
            </w:pPr>
            <w:r>
              <w:rPr>
                <w:rFonts w:hint="eastAsia"/>
              </w:rPr>
              <w:t>制定依据：与《教育部职业教育专业教学标准-2025修（制）订》自动化类专业要求符合</w:t>
            </w:r>
          </w:p>
        </w:tc>
      </w:tr>
      <w:tr w14:paraId="30A9E0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9" w:type="dxa"/>
            <w:vMerge w:val="continue"/>
            <w:tcBorders>
              <w:left w:val="single" w:color="auto" w:sz="8" w:space="0"/>
              <w:right w:val="single" w:color="auto" w:sz="4" w:space="0"/>
            </w:tcBorders>
            <w:vAlign w:val="center"/>
          </w:tcPr>
          <w:p w14:paraId="55D40BF5">
            <w:pPr>
              <w:adjustRightInd w:val="0"/>
              <w:snapToGrid w:val="0"/>
              <w:ind w:firstLine="0" w:firstLineChars="0"/>
              <w:jc w:val="center"/>
              <w:rPr>
                <w:rFonts w:hint="eastAsia"/>
              </w:rPr>
            </w:pPr>
          </w:p>
        </w:tc>
        <w:tc>
          <w:tcPr>
            <w:tcW w:w="1418"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42DB9FBA">
            <w:pPr>
              <w:adjustRightInd w:val="0"/>
              <w:snapToGrid w:val="0"/>
              <w:ind w:firstLine="0" w:firstLineChars="0"/>
              <w:jc w:val="center"/>
              <w:rPr>
                <w:rFonts w:hint="eastAsia"/>
              </w:rPr>
            </w:pPr>
            <w:r>
              <w:rPr>
                <w:rFonts w:hint="eastAsia"/>
              </w:rPr>
              <w:t>4.6专业技能训练项目</w:t>
            </w:r>
          </w:p>
        </w:tc>
        <w:tc>
          <w:tcPr>
            <w:tcW w:w="246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7E8B87B8">
            <w:pPr>
              <w:pStyle w:val="30"/>
              <w:snapToGrid w:val="0"/>
              <w:spacing w:line="240" w:lineRule="auto"/>
              <w:rPr>
                <w:b w:val="0"/>
                <w:bCs/>
              </w:rPr>
            </w:pPr>
            <w:r>
              <w:rPr>
                <w:rFonts w:hint="eastAsia"/>
                <w:b w:val="0"/>
                <w:bCs/>
              </w:rPr>
              <w:t>在电工、电子、电气控制与PLC、液压与气动、传感器检测、数字制图等专业基础技能训练领域内开设3项或以上基础技能训练项目</w:t>
            </w:r>
          </w:p>
        </w:tc>
        <w:tc>
          <w:tcPr>
            <w:tcW w:w="3844" w:type="dxa"/>
            <w:tcBorders>
              <w:top w:val="single" w:color="auto" w:sz="4" w:space="0"/>
              <w:left w:val="single" w:color="auto" w:sz="4" w:space="0"/>
              <w:bottom w:val="single" w:color="auto" w:sz="4" w:space="0"/>
              <w:right w:val="single" w:color="auto" w:sz="4" w:space="0"/>
            </w:tcBorders>
            <w:vAlign w:val="center"/>
          </w:tcPr>
          <w:p w14:paraId="49E2A64A">
            <w:pPr>
              <w:pStyle w:val="30"/>
              <w:snapToGrid w:val="0"/>
              <w:spacing w:line="240" w:lineRule="auto"/>
              <w:rPr>
                <w:b w:val="0"/>
                <w:bCs/>
              </w:rPr>
            </w:pPr>
            <w:r>
              <w:rPr>
                <w:rFonts w:hint="eastAsia"/>
                <w:b w:val="0"/>
                <w:bCs/>
              </w:rPr>
              <w:t>在电工、电子、电气控制与PLC、液压与气动、传感器检测、数字制图等专业基础技能训练领域内开设的基础技能训练项目的统计和审核材料</w:t>
            </w:r>
          </w:p>
        </w:tc>
        <w:tc>
          <w:tcPr>
            <w:tcW w:w="1323" w:type="dxa"/>
            <w:tcBorders>
              <w:top w:val="single" w:color="auto" w:sz="4" w:space="0"/>
              <w:left w:val="single" w:color="auto" w:sz="4" w:space="0"/>
              <w:bottom w:val="single" w:color="auto" w:sz="4" w:space="0"/>
              <w:right w:val="single" w:color="auto" w:sz="8" w:space="0"/>
            </w:tcBorders>
            <w:vAlign w:val="center"/>
          </w:tcPr>
          <w:p w14:paraId="171235E2">
            <w:pPr>
              <w:adjustRightInd w:val="0"/>
              <w:snapToGrid w:val="0"/>
              <w:ind w:firstLine="0" w:firstLineChars="0"/>
              <w:jc w:val="center"/>
              <w:rPr>
                <w:rFonts w:hint="eastAsia"/>
              </w:rPr>
            </w:pPr>
            <w:r>
              <w:rPr>
                <w:rFonts w:hint="eastAsia"/>
              </w:rPr>
              <w:t>证据判断法</w:t>
            </w:r>
          </w:p>
        </w:tc>
      </w:tr>
      <w:tr w14:paraId="5AEB18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9" w:type="dxa"/>
            <w:vMerge w:val="continue"/>
            <w:tcBorders>
              <w:left w:val="single" w:color="auto" w:sz="8" w:space="0"/>
              <w:bottom w:val="single" w:color="auto" w:sz="4" w:space="0"/>
              <w:right w:val="single" w:color="auto" w:sz="4" w:space="0"/>
            </w:tcBorders>
            <w:vAlign w:val="center"/>
          </w:tcPr>
          <w:p w14:paraId="00089209">
            <w:pPr>
              <w:adjustRightInd w:val="0"/>
              <w:snapToGrid w:val="0"/>
              <w:ind w:firstLine="0" w:firstLineChars="0"/>
              <w:jc w:val="center"/>
              <w:rPr>
                <w:rFonts w:hint="eastAsia"/>
              </w:rPr>
            </w:pPr>
          </w:p>
        </w:tc>
        <w:tc>
          <w:tcPr>
            <w:tcW w:w="1418"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63D70549">
            <w:pPr>
              <w:adjustRightInd w:val="0"/>
              <w:snapToGrid w:val="0"/>
              <w:ind w:firstLine="0" w:firstLineChars="0"/>
              <w:jc w:val="center"/>
              <w:rPr>
                <w:rFonts w:hint="eastAsia"/>
              </w:rPr>
            </w:pPr>
          </w:p>
        </w:tc>
        <w:tc>
          <w:tcPr>
            <w:tcW w:w="7635"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4AF2AD31">
            <w:pPr>
              <w:adjustRightInd w:val="0"/>
              <w:snapToGrid w:val="0"/>
              <w:rPr>
                <w:rFonts w:hint="eastAsia"/>
              </w:rPr>
            </w:pPr>
            <w:r>
              <w:rPr>
                <w:rFonts w:hint="eastAsia"/>
              </w:rPr>
              <w:t>制定依据：与《教育部职业教育专业教学标准-2025修（制）订》自动化类专业要求符合</w:t>
            </w:r>
          </w:p>
        </w:tc>
      </w:tr>
      <w:tr w14:paraId="111BAF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9" w:type="dxa"/>
            <w:vMerge w:val="restart"/>
            <w:tcBorders>
              <w:top w:val="single" w:color="auto" w:sz="4" w:space="0"/>
              <w:left w:val="single" w:color="auto" w:sz="8" w:space="0"/>
              <w:right w:val="single" w:color="auto" w:sz="4" w:space="0"/>
            </w:tcBorders>
            <w:tcMar>
              <w:top w:w="57" w:type="dxa"/>
              <w:left w:w="108" w:type="dxa"/>
              <w:bottom w:w="57" w:type="dxa"/>
              <w:right w:w="108" w:type="dxa"/>
            </w:tcMar>
            <w:vAlign w:val="center"/>
          </w:tcPr>
          <w:p w14:paraId="08290E8D">
            <w:pPr>
              <w:adjustRightInd w:val="0"/>
              <w:snapToGrid w:val="0"/>
              <w:ind w:firstLine="0" w:firstLineChars="0"/>
              <w:jc w:val="center"/>
              <w:rPr>
                <w:rFonts w:hint="eastAsia"/>
              </w:rPr>
            </w:pPr>
            <w:r>
              <w:rPr>
                <w:rFonts w:hint="eastAsia"/>
              </w:rPr>
              <w:t>7 师资队伍</w:t>
            </w:r>
          </w:p>
        </w:tc>
        <w:tc>
          <w:tcPr>
            <w:tcW w:w="1418"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2A1FFCC2">
            <w:pPr>
              <w:adjustRightInd w:val="0"/>
              <w:snapToGrid w:val="0"/>
              <w:ind w:firstLine="0" w:firstLineChars="0"/>
              <w:jc w:val="center"/>
              <w:rPr>
                <w:rFonts w:hint="eastAsia"/>
              </w:rPr>
            </w:pPr>
            <w:r>
              <w:rPr>
                <w:rFonts w:hint="eastAsia"/>
              </w:rPr>
              <w:t>7.4专业教师学科背景</w:t>
            </w:r>
          </w:p>
        </w:tc>
        <w:tc>
          <w:tcPr>
            <w:tcW w:w="246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28306789">
            <w:pPr>
              <w:pStyle w:val="30"/>
              <w:snapToGrid w:val="0"/>
              <w:spacing w:line="240" w:lineRule="auto"/>
              <w:rPr>
                <w:b w:val="0"/>
                <w:bCs/>
              </w:rPr>
            </w:pPr>
            <w:r>
              <w:rPr>
                <w:rFonts w:hint="eastAsia"/>
                <w:b w:val="0"/>
                <w:bCs/>
              </w:rPr>
              <w:t>8</w:t>
            </w:r>
            <w:r>
              <w:rPr>
                <w:b w:val="0"/>
                <w:bCs/>
              </w:rPr>
              <w:t>0</w:t>
            </w:r>
            <w:r>
              <w:rPr>
                <w:rFonts w:hint="eastAsia"/>
                <w:b w:val="0"/>
                <w:bCs/>
              </w:rPr>
              <w:t>%专业教师在本科、硕士和博士三个学历阶段中，有一个阶段是自动化类专业学历</w:t>
            </w:r>
          </w:p>
        </w:tc>
        <w:tc>
          <w:tcPr>
            <w:tcW w:w="3844" w:type="dxa"/>
            <w:tcBorders>
              <w:top w:val="single" w:color="auto" w:sz="4" w:space="0"/>
              <w:left w:val="single" w:color="auto" w:sz="4" w:space="0"/>
              <w:bottom w:val="single" w:color="auto" w:sz="4" w:space="0"/>
              <w:right w:val="single" w:color="auto" w:sz="4" w:space="0"/>
            </w:tcBorders>
            <w:vAlign w:val="center"/>
          </w:tcPr>
          <w:p w14:paraId="6400AA11">
            <w:pPr>
              <w:pStyle w:val="30"/>
              <w:snapToGrid w:val="0"/>
              <w:spacing w:line="240" w:lineRule="auto"/>
              <w:rPr>
                <w:b w:val="0"/>
                <w:bCs/>
              </w:rPr>
            </w:pPr>
            <w:r>
              <w:rPr>
                <w:rFonts w:hint="eastAsia"/>
                <w:b w:val="0"/>
                <w:bCs/>
              </w:rPr>
              <w:t>专业教师在本科、硕士和博士三个学历阶段中获得的自动化类专业学历的统计和审核材料</w:t>
            </w:r>
          </w:p>
        </w:tc>
        <w:tc>
          <w:tcPr>
            <w:tcW w:w="1323" w:type="dxa"/>
            <w:tcBorders>
              <w:top w:val="single" w:color="auto" w:sz="4" w:space="0"/>
              <w:left w:val="single" w:color="auto" w:sz="4" w:space="0"/>
              <w:bottom w:val="single" w:color="auto" w:sz="4" w:space="0"/>
              <w:right w:val="single" w:color="auto" w:sz="8" w:space="0"/>
            </w:tcBorders>
            <w:vAlign w:val="center"/>
          </w:tcPr>
          <w:p w14:paraId="088929F7">
            <w:pPr>
              <w:adjustRightInd w:val="0"/>
              <w:snapToGrid w:val="0"/>
              <w:ind w:firstLine="0" w:firstLineChars="0"/>
              <w:jc w:val="center"/>
              <w:rPr>
                <w:rFonts w:hint="eastAsia"/>
              </w:rPr>
            </w:pPr>
            <w:r>
              <w:rPr>
                <w:rFonts w:hint="eastAsia"/>
              </w:rPr>
              <w:t>证据判断法</w:t>
            </w:r>
          </w:p>
        </w:tc>
      </w:tr>
      <w:tr w14:paraId="0ED97C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9" w:type="dxa"/>
            <w:vMerge w:val="continue"/>
            <w:tcBorders>
              <w:left w:val="single" w:color="auto" w:sz="8" w:space="0"/>
              <w:right w:val="single" w:color="auto" w:sz="4" w:space="0"/>
            </w:tcBorders>
            <w:tcMar>
              <w:top w:w="57" w:type="dxa"/>
              <w:left w:w="108" w:type="dxa"/>
              <w:bottom w:w="57" w:type="dxa"/>
              <w:right w:w="108" w:type="dxa"/>
            </w:tcMar>
            <w:vAlign w:val="center"/>
          </w:tcPr>
          <w:p w14:paraId="6E32AD2B">
            <w:pPr>
              <w:adjustRightInd w:val="0"/>
              <w:snapToGrid w:val="0"/>
              <w:rPr>
                <w:rFonts w:hint="eastAsia"/>
              </w:rPr>
            </w:pPr>
          </w:p>
        </w:tc>
        <w:tc>
          <w:tcPr>
            <w:tcW w:w="1418"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292A48F4">
            <w:pPr>
              <w:adjustRightInd w:val="0"/>
              <w:snapToGrid w:val="0"/>
              <w:ind w:firstLine="0" w:firstLineChars="0"/>
              <w:jc w:val="center"/>
              <w:rPr>
                <w:rFonts w:hint="eastAsia"/>
              </w:rPr>
            </w:pPr>
          </w:p>
        </w:tc>
        <w:tc>
          <w:tcPr>
            <w:tcW w:w="7635"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563D75B5">
            <w:pPr>
              <w:adjustRightInd w:val="0"/>
              <w:snapToGrid w:val="0"/>
              <w:rPr>
                <w:rFonts w:hint="eastAsia"/>
              </w:rPr>
            </w:pPr>
            <w:r>
              <w:rPr>
                <w:rFonts w:hint="eastAsia"/>
              </w:rPr>
              <w:t>制定依据：与机械行业高职院校专任教师招聘的学历准入标准调研的结论一致</w:t>
            </w:r>
          </w:p>
        </w:tc>
      </w:tr>
      <w:tr w14:paraId="463383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899" w:type="dxa"/>
            <w:vMerge w:val="continue"/>
            <w:tcBorders>
              <w:left w:val="single" w:color="auto" w:sz="8" w:space="0"/>
              <w:right w:val="single" w:color="auto" w:sz="4" w:space="0"/>
            </w:tcBorders>
            <w:vAlign w:val="center"/>
          </w:tcPr>
          <w:p w14:paraId="4877886F">
            <w:pPr>
              <w:adjustRightInd w:val="0"/>
              <w:snapToGrid w:val="0"/>
              <w:rPr>
                <w:rFonts w:hint="eastAsia"/>
              </w:rPr>
            </w:pPr>
          </w:p>
        </w:tc>
        <w:tc>
          <w:tcPr>
            <w:tcW w:w="1418"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2CB9E224">
            <w:pPr>
              <w:adjustRightInd w:val="0"/>
              <w:snapToGrid w:val="0"/>
              <w:ind w:firstLine="0" w:firstLineChars="0"/>
              <w:jc w:val="center"/>
              <w:rPr>
                <w:rFonts w:hint="eastAsia"/>
              </w:rPr>
            </w:pPr>
            <w:r>
              <w:rPr>
                <w:rFonts w:hint="eastAsia"/>
              </w:rPr>
              <w:t>7.5专业教师技能要求</w:t>
            </w:r>
          </w:p>
        </w:tc>
        <w:tc>
          <w:tcPr>
            <w:tcW w:w="246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7225546B">
            <w:pPr>
              <w:pStyle w:val="30"/>
              <w:snapToGrid w:val="0"/>
              <w:spacing w:line="240" w:lineRule="auto"/>
              <w:rPr>
                <w:b w:val="0"/>
                <w:bCs/>
              </w:rPr>
            </w:pPr>
            <w:r>
              <w:rPr>
                <w:rFonts w:hint="eastAsia"/>
                <w:b w:val="0"/>
                <w:bCs/>
              </w:rPr>
              <w:t>从事专业教学三年或以上专业教师获得一个与专业相关或与授课课程相关的、公认的职业资格证书或技能等级证书</w:t>
            </w:r>
          </w:p>
        </w:tc>
        <w:tc>
          <w:tcPr>
            <w:tcW w:w="3844" w:type="dxa"/>
            <w:tcBorders>
              <w:top w:val="single" w:color="auto" w:sz="4" w:space="0"/>
              <w:left w:val="single" w:color="auto" w:sz="4" w:space="0"/>
              <w:bottom w:val="single" w:color="auto" w:sz="4" w:space="0"/>
              <w:right w:val="single" w:color="auto" w:sz="4" w:space="0"/>
            </w:tcBorders>
            <w:vAlign w:val="center"/>
          </w:tcPr>
          <w:p w14:paraId="1D2488CE">
            <w:pPr>
              <w:pStyle w:val="30"/>
              <w:snapToGrid w:val="0"/>
              <w:spacing w:line="240" w:lineRule="auto"/>
              <w:rPr>
                <w:b w:val="0"/>
                <w:bCs/>
              </w:rPr>
            </w:pPr>
            <w:r>
              <w:rPr>
                <w:rFonts w:hint="eastAsia"/>
                <w:b w:val="0"/>
                <w:bCs/>
              </w:rPr>
              <w:t>专业教师获得的与专业相关或与授课课程相关的、公认的职业资格证书或技能等级证书的统计和审核材料</w:t>
            </w:r>
          </w:p>
        </w:tc>
        <w:tc>
          <w:tcPr>
            <w:tcW w:w="1323" w:type="dxa"/>
            <w:tcBorders>
              <w:top w:val="single" w:color="auto" w:sz="4" w:space="0"/>
              <w:left w:val="single" w:color="auto" w:sz="4" w:space="0"/>
              <w:bottom w:val="single" w:color="auto" w:sz="4" w:space="0"/>
              <w:right w:val="single" w:color="auto" w:sz="8" w:space="0"/>
            </w:tcBorders>
            <w:vAlign w:val="center"/>
          </w:tcPr>
          <w:p w14:paraId="1DA10B19">
            <w:pPr>
              <w:adjustRightInd w:val="0"/>
              <w:snapToGrid w:val="0"/>
              <w:ind w:firstLine="0" w:firstLineChars="0"/>
              <w:jc w:val="center"/>
              <w:rPr>
                <w:rFonts w:hint="eastAsia"/>
              </w:rPr>
            </w:pPr>
            <w:r>
              <w:rPr>
                <w:rFonts w:hint="eastAsia"/>
              </w:rPr>
              <w:t>证据判断法</w:t>
            </w:r>
          </w:p>
        </w:tc>
      </w:tr>
      <w:tr w14:paraId="4F10FC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9" w:type="dxa"/>
            <w:vMerge w:val="continue"/>
            <w:tcBorders>
              <w:left w:val="single" w:color="auto" w:sz="8" w:space="0"/>
              <w:right w:val="single" w:color="auto" w:sz="4" w:space="0"/>
            </w:tcBorders>
            <w:vAlign w:val="center"/>
          </w:tcPr>
          <w:p w14:paraId="4152CD32">
            <w:pPr>
              <w:adjustRightInd w:val="0"/>
              <w:snapToGrid w:val="0"/>
              <w:rPr>
                <w:rFonts w:hint="eastAsia"/>
              </w:rPr>
            </w:pPr>
          </w:p>
        </w:tc>
        <w:tc>
          <w:tcPr>
            <w:tcW w:w="1418"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2096CC96">
            <w:pPr>
              <w:adjustRightInd w:val="0"/>
              <w:snapToGrid w:val="0"/>
              <w:rPr>
                <w:rFonts w:hint="eastAsia"/>
              </w:rPr>
            </w:pPr>
          </w:p>
        </w:tc>
        <w:tc>
          <w:tcPr>
            <w:tcW w:w="7635"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54334CAA">
            <w:pPr>
              <w:adjustRightInd w:val="0"/>
              <w:snapToGrid w:val="0"/>
              <w:rPr>
                <w:rFonts w:hint="eastAsia"/>
              </w:rPr>
            </w:pPr>
            <w:r>
              <w:rPr>
                <w:rFonts w:hint="eastAsia"/>
              </w:rPr>
              <w:t>制定依据：与《高等职业学校办学条件监测指标（试行）》四 41条款符合</w:t>
            </w:r>
          </w:p>
        </w:tc>
      </w:tr>
      <w:tr w14:paraId="54FDDA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9" w:type="dxa"/>
            <w:vMerge w:val="continue"/>
            <w:tcBorders>
              <w:left w:val="single" w:color="auto" w:sz="8" w:space="0"/>
              <w:right w:val="single" w:color="auto" w:sz="4" w:space="0"/>
            </w:tcBorders>
            <w:vAlign w:val="center"/>
          </w:tcPr>
          <w:p w14:paraId="59A49CA8">
            <w:pPr>
              <w:adjustRightInd w:val="0"/>
              <w:snapToGrid w:val="0"/>
              <w:rPr>
                <w:rFonts w:hint="eastAsia"/>
              </w:rPr>
            </w:pPr>
          </w:p>
        </w:tc>
        <w:tc>
          <w:tcPr>
            <w:tcW w:w="1418"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1B1AB4BF">
            <w:pPr>
              <w:adjustRightInd w:val="0"/>
              <w:snapToGrid w:val="0"/>
              <w:ind w:firstLine="0" w:firstLineChars="0"/>
              <w:jc w:val="center"/>
              <w:rPr>
                <w:rFonts w:hint="eastAsia"/>
              </w:rPr>
            </w:pPr>
            <w:r>
              <w:rPr>
                <w:rFonts w:hint="eastAsia"/>
              </w:rPr>
              <w:t>7.6企业导师</w:t>
            </w:r>
          </w:p>
        </w:tc>
        <w:tc>
          <w:tcPr>
            <w:tcW w:w="246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A94C373">
            <w:pPr>
              <w:pStyle w:val="30"/>
              <w:snapToGrid w:val="0"/>
              <w:spacing w:line="240" w:lineRule="auto"/>
              <w:rPr>
                <w:b w:val="0"/>
                <w:bCs/>
              </w:rPr>
            </w:pPr>
            <w:r>
              <w:rPr>
                <w:rFonts w:hint="eastAsia"/>
                <w:b w:val="0"/>
                <w:bCs/>
              </w:rPr>
              <w:t>聘</w:t>
            </w:r>
            <w:r>
              <w:rPr>
                <w:rFonts w:hint="eastAsia"/>
                <w:b w:val="0"/>
                <w:bCs/>
                <w:color w:val="000000" w:themeColor="text1"/>
                <w14:textFill>
                  <w14:solidFill>
                    <w14:schemeClr w14:val="tx1"/>
                  </w14:solidFill>
                </w14:textFill>
              </w:rPr>
              <w:t>用企业中与专业相关岗位工作的技术骨干为企业导师</w:t>
            </w:r>
          </w:p>
        </w:tc>
        <w:tc>
          <w:tcPr>
            <w:tcW w:w="3844" w:type="dxa"/>
            <w:tcBorders>
              <w:top w:val="single" w:color="auto" w:sz="4" w:space="0"/>
              <w:left w:val="single" w:color="auto" w:sz="4" w:space="0"/>
              <w:bottom w:val="single" w:color="auto" w:sz="4" w:space="0"/>
              <w:right w:val="single" w:color="auto" w:sz="4" w:space="0"/>
            </w:tcBorders>
            <w:vAlign w:val="center"/>
          </w:tcPr>
          <w:p w14:paraId="681AF83A">
            <w:pPr>
              <w:pStyle w:val="30"/>
              <w:snapToGrid w:val="0"/>
              <w:spacing w:line="240" w:lineRule="auto"/>
              <w:rPr>
                <w:b w:val="0"/>
                <w:bCs/>
              </w:rPr>
            </w:pPr>
            <w:r>
              <w:rPr>
                <w:rFonts w:hint="eastAsia"/>
                <w:b w:val="0"/>
                <w:bCs/>
              </w:rPr>
              <w:t xml:space="preserve">近三年聘用的企业导师聘用协议文本汇总材料 </w:t>
            </w:r>
          </w:p>
          <w:p w14:paraId="6DB1C706">
            <w:pPr>
              <w:pStyle w:val="30"/>
              <w:snapToGrid w:val="0"/>
              <w:spacing w:line="240" w:lineRule="auto"/>
              <w:rPr>
                <w:b w:val="0"/>
                <w:bCs/>
              </w:rPr>
            </w:pPr>
            <w:r>
              <w:rPr>
                <w:rFonts w:hint="eastAsia"/>
                <w:b w:val="0"/>
                <w:bCs/>
              </w:rPr>
              <w:t xml:space="preserve">近三年聘用的企业导师的技术背景、岗位背景、个人基本信息材料 </w:t>
            </w:r>
          </w:p>
        </w:tc>
        <w:tc>
          <w:tcPr>
            <w:tcW w:w="1323" w:type="dxa"/>
            <w:tcBorders>
              <w:top w:val="single" w:color="auto" w:sz="4" w:space="0"/>
              <w:left w:val="single" w:color="auto" w:sz="4" w:space="0"/>
              <w:bottom w:val="single" w:color="auto" w:sz="4" w:space="0"/>
              <w:right w:val="single" w:color="auto" w:sz="8" w:space="0"/>
            </w:tcBorders>
            <w:vAlign w:val="center"/>
          </w:tcPr>
          <w:p w14:paraId="582D17FB">
            <w:pPr>
              <w:adjustRightInd w:val="0"/>
              <w:snapToGrid w:val="0"/>
              <w:ind w:firstLine="0" w:firstLineChars="0"/>
              <w:jc w:val="center"/>
              <w:rPr>
                <w:rFonts w:hint="eastAsia"/>
              </w:rPr>
            </w:pPr>
            <w:r>
              <w:rPr>
                <w:rFonts w:hint="eastAsia"/>
              </w:rPr>
              <w:t>证据判断法</w:t>
            </w:r>
          </w:p>
        </w:tc>
      </w:tr>
      <w:tr w14:paraId="42A80B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9" w:type="dxa"/>
            <w:vMerge w:val="continue"/>
            <w:tcBorders>
              <w:left w:val="single" w:color="auto" w:sz="8" w:space="0"/>
              <w:right w:val="single" w:color="auto" w:sz="4" w:space="0"/>
            </w:tcBorders>
            <w:vAlign w:val="center"/>
          </w:tcPr>
          <w:p w14:paraId="29A573E3">
            <w:pPr>
              <w:adjustRightInd w:val="0"/>
              <w:snapToGrid w:val="0"/>
              <w:rPr>
                <w:rFonts w:hint="eastAsia"/>
              </w:rPr>
            </w:pPr>
          </w:p>
        </w:tc>
        <w:tc>
          <w:tcPr>
            <w:tcW w:w="1418" w:type="dxa"/>
            <w:vMerge w:val="continue"/>
            <w:tcBorders>
              <w:left w:val="single" w:color="auto" w:sz="4" w:space="0"/>
              <w:right w:val="single" w:color="auto" w:sz="4" w:space="0"/>
            </w:tcBorders>
            <w:tcMar>
              <w:top w:w="57" w:type="dxa"/>
              <w:left w:w="108" w:type="dxa"/>
              <w:bottom w:w="57" w:type="dxa"/>
              <w:right w:w="108" w:type="dxa"/>
            </w:tcMar>
            <w:vAlign w:val="center"/>
          </w:tcPr>
          <w:p w14:paraId="4B5B8DC7">
            <w:pPr>
              <w:adjustRightInd w:val="0"/>
              <w:snapToGrid w:val="0"/>
              <w:rPr>
                <w:rFonts w:hint="eastAsia"/>
              </w:rPr>
            </w:pPr>
          </w:p>
        </w:tc>
        <w:tc>
          <w:tcPr>
            <w:tcW w:w="7635"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125ADB9F">
            <w:pPr>
              <w:adjustRightInd w:val="0"/>
              <w:snapToGrid w:val="0"/>
              <w:rPr>
                <w:rFonts w:hint="eastAsia"/>
              </w:rPr>
            </w:pPr>
            <w:r>
              <w:rPr>
                <w:rFonts w:hint="eastAsia"/>
              </w:rPr>
              <w:t>制定依据：与《高等职业学校办学条件监测指标（试行）》五 9 （1）条款一致</w:t>
            </w:r>
          </w:p>
        </w:tc>
      </w:tr>
      <w:tr w14:paraId="5B458E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9" w:type="dxa"/>
            <w:vMerge w:val="continue"/>
            <w:tcBorders>
              <w:left w:val="single" w:color="auto" w:sz="8" w:space="0"/>
              <w:right w:val="single" w:color="auto" w:sz="4" w:space="0"/>
            </w:tcBorders>
            <w:vAlign w:val="center"/>
          </w:tcPr>
          <w:p w14:paraId="43CC0674">
            <w:pPr>
              <w:adjustRightInd w:val="0"/>
              <w:snapToGrid w:val="0"/>
              <w:rPr>
                <w:rFonts w:hint="eastAsia"/>
              </w:rPr>
            </w:pPr>
          </w:p>
        </w:tc>
        <w:tc>
          <w:tcPr>
            <w:tcW w:w="1418" w:type="dxa"/>
            <w:vMerge w:val="continue"/>
            <w:tcBorders>
              <w:left w:val="single" w:color="auto" w:sz="4" w:space="0"/>
              <w:right w:val="single" w:color="auto" w:sz="4" w:space="0"/>
            </w:tcBorders>
            <w:tcMar>
              <w:top w:w="57" w:type="dxa"/>
              <w:left w:w="108" w:type="dxa"/>
              <w:bottom w:w="57" w:type="dxa"/>
              <w:right w:w="108" w:type="dxa"/>
            </w:tcMar>
            <w:vAlign w:val="center"/>
          </w:tcPr>
          <w:p w14:paraId="05207B84">
            <w:pPr>
              <w:adjustRightInd w:val="0"/>
              <w:snapToGrid w:val="0"/>
              <w:rPr>
                <w:rFonts w:hint="eastAsia"/>
              </w:rPr>
            </w:pPr>
          </w:p>
        </w:tc>
        <w:tc>
          <w:tcPr>
            <w:tcW w:w="2468"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4A2F3598">
            <w:pPr>
              <w:snapToGrid w:val="0"/>
              <w:rPr>
                <w:rFonts w:hint="eastAsia"/>
                <w:bCs/>
              </w:rPr>
            </w:pPr>
            <w:r>
              <w:rPr>
                <w:rFonts w:hint="eastAsia"/>
                <w:bCs/>
              </w:rPr>
              <w:t>企业导师每学年任课量占专业总教学工作量15%以上</w:t>
            </w:r>
          </w:p>
        </w:tc>
        <w:tc>
          <w:tcPr>
            <w:tcW w:w="3844" w:type="dxa"/>
            <w:tcBorders>
              <w:top w:val="single" w:color="auto" w:sz="4" w:space="0"/>
              <w:left w:val="single" w:color="auto" w:sz="4" w:space="0"/>
              <w:bottom w:val="single" w:color="auto" w:sz="4" w:space="0"/>
              <w:right w:val="single" w:color="auto" w:sz="4" w:space="0"/>
            </w:tcBorders>
            <w:vAlign w:val="center"/>
          </w:tcPr>
          <w:p w14:paraId="1027DC5E">
            <w:pPr>
              <w:pStyle w:val="30"/>
              <w:snapToGrid w:val="0"/>
              <w:spacing w:line="240" w:lineRule="auto"/>
              <w:rPr>
                <w:b w:val="0"/>
                <w:bCs/>
              </w:rPr>
            </w:pPr>
            <w:r>
              <w:rPr>
                <w:rFonts w:hint="eastAsia"/>
                <w:b w:val="0"/>
                <w:bCs/>
              </w:rPr>
              <w:t xml:space="preserve">近三年企业导师每学年任课工作量报酬或合作协议、合同等凭证 </w:t>
            </w:r>
          </w:p>
          <w:p w14:paraId="643DB4F3">
            <w:pPr>
              <w:snapToGrid w:val="0"/>
              <w:rPr>
                <w:rFonts w:hint="eastAsia"/>
                <w:bCs/>
              </w:rPr>
            </w:pPr>
            <w:r>
              <w:rPr>
                <w:rFonts w:hint="eastAsia"/>
                <w:bCs/>
              </w:rPr>
              <w:t>近三年企业导师每学年任课量占专业总教学工作量比例的统计、审核材料</w:t>
            </w:r>
          </w:p>
        </w:tc>
        <w:tc>
          <w:tcPr>
            <w:tcW w:w="1323" w:type="dxa"/>
            <w:tcBorders>
              <w:top w:val="single" w:color="auto" w:sz="4" w:space="0"/>
              <w:left w:val="single" w:color="auto" w:sz="4" w:space="0"/>
              <w:bottom w:val="single" w:color="auto" w:sz="4" w:space="0"/>
              <w:right w:val="single" w:color="auto" w:sz="8" w:space="0"/>
            </w:tcBorders>
            <w:vAlign w:val="center"/>
          </w:tcPr>
          <w:p w14:paraId="2E53ADF6">
            <w:pPr>
              <w:adjustRightInd w:val="0"/>
              <w:snapToGrid w:val="0"/>
              <w:ind w:firstLine="0" w:firstLineChars="0"/>
              <w:jc w:val="center"/>
              <w:rPr>
                <w:rFonts w:hint="eastAsia"/>
              </w:rPr>
            </w:pPr>
            <w:r>
              <w:rPr>
                <w:rFonts w:hint="eastAsia"/>
              </w:rPr>
              <w:t>证据判断法</w:t>
            </w:r>
          </w:p>
        </w:tc>
      </w:tr>
      <w:tr w14:paraId="21D103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9" w:type="dxa"/>
            <w:vMerge w:val="continue"/>
            <w:tcBorders>
              <w:left w:val="single" w:color="auto" w:sz="8" w:space="0"/>
              <w:bottom w:val="single" w:color="auto" w:sz="4" w:space="0"/>
              <w:right w:val="single" w:color="auto" w:sz="4" w:space="0"/>
            </w:tcBorders>
            <w:vAlign w:val="center"/>
          </w:tcPr>
          <w:p w14:paraId="1677F5E7">
            <w:pPr>
              <w:adjustRightInd w:val="0"/>
              <w:snapToGrid w:val="0"/>
              <w:rPr>
                <w:rFonts w:hint="eastAsia"/>
              </w:rPr>
            </w:pPr>
          </w:p>
        </w:tc>
        <w:tc>
          <w:tcPr>
            <w:tcW w:w="1418"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13216401">
            <w:pPr>
              <w:adjustRightInd w:val="0"/>
              <w:snapToGrid w:val="0"/>
              <w:rPr>
                <w:rFonts w:hint="eastAsia"/>
              </w:rPr>
            </w:pPr>
          </w:p>
        </w:tc>
        <w:tc>
          <w:tcPr>
            <w:tcW w:w="7635"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03063FFA">
            <w:pPr>
              <w:adjustRightInd w:val="0"/>
              <w:snapToGrid w:val="0"/>
              <w:rPr>
                <w:rFonts w:hint="eastAsia"/>
              </w:rPr>
            </w:pPr>
            <w:r>
              <w:rPr>
                <w:rFonts w:hint="eastAsia"/>
              </w:rPr>
              <w:t>制定依据：与《高等职业学校办学条件监测指标（试行）》四 31条款一致</w:t>
            </w:r>
          </w:p>
        </w:tc>
      </w:tr>
    </w:tbl>
    <w:p w14:paraId="6A7F5F39">
      <w:pPr>
        <w:pStyle w:val="5"/>
      </w:pPr>
      <w:r>
        <w:rPr>
          <w:rFonts w:hint="eastAsia"/>
        </w:rPr>
        <w:t>3.6 其他类专业补充评价要求判定基准的制定依据</w:t>
      </w:r>
    </w:p>
    <w:p w14:paraId="337500DF">
      <w:pPr>
        <w:adjustRightInd w:val="0"/>
        <w:snapToGrid w:val="0"/>
        <w:spacing w:line="360" w:lineRule="auto"/>
        <w:ind w:firstLine="420" w:firstLineChars="200"/>
        <w:rPr>
          <w:rFonts w:hint="eastAsia"/>
          <w:sz w:val="21"/>
          <w:szCs w:val="21"/>
        </w:rPr>
      </w:pPr>
      <w:r>
        <w:rPr>
          <w:rFonts w:hint="eastAsia"/>
          <w:sz w:val="21"/>
          <w:szCs w:val="21"/>
        </w:rPr>
        <w:t>其他类专业包括太阳能光热技术与应用（专业代码430204）、工业设计（专业代码460105）、工业工程技术（专业代码460106）、电线电缆制造技术（专业代码460116）、内燃机制造与应用技术（专业代码460117）、工业产品质量检测技术（专业代码460119）、理化测试与质检技术（专业代码460120）、计量测试与应用技术（专业代码460311）、城市轨道交通车辆制造与维护（专业代码460403）9个专业，补充评价要求判定基准的制定依据见表6。</w:t>
      </w:r>
    </w:p>
    <w:bookmarkEnd w:id="10"/>
    <w:p w14:paraId="2AAF4BD2">
      <w:pPr>
        <w:pStyle w:val="37"/>
        <w:numPr>
          <w:ilvl w:val="0"/>
          <w:numId w:val="1"/>
        </w:numPr>
        <w:tabs>
          <w:tab w:val="left" w:pos="0"/>
        </w:tabs>
        <w:adjustRightInd w:val="0"/>
        <w:snapToGrid w:val="0"/>
        <w:spacing w:before="0" w:beforeLines="0" w:after="0" w:afterLines="0" w:line="360" w:lineRule="auto"/>
        <w:ind w:left="0"/>
        <w:rPr>
          <w:rFonts w:hint="eastAsia" w:hAnsi="黑体" w:cs="黑体"/>
          <w:szCs w:val="21"/>
        </w:rPr>
      </w:pPr>
      <w:bookmarkStart w:id="11" w:name="_Toc190358616"/>
      <w:r>
        <w:rPr>
          <w:rFonts w:hint="eastAsia" w:hAnsi="黑体" w:cs="黑体"/>
          <w:szCs w:val="21"/>
        </w:rPr>
        <w:t>其他类专业补充评价</w:t>
      </w:r>
      <w:bookmarkEnd w:id="11"/>
      <w:r>
        <w:rPr>
          <w:rFonts w:hint="eastAsia" w:hAnsi="黑体" w:cs="黑体"/>
          <w:szCs w:val="21"/>
        </w:rPr>
        <w:t>要求</w:t>
      </w:r>
    </w:p>
    <w:tbl>
      <w:tblPr>
        <w:tblStyle w:val="19"/>
        <w:tblW w:w="996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473"/>
        <w:gridCol w:w="2454"/>
        <w:gridCol w:w="3860"/>
        <w:gridCol w:w="1322"/>
      </w:tblGrid>
      <w:tr w14:paraId="5E8754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58" w:type="dxa"/>
            <w:tcBorders>
              <w:top w:val="single" w:color="auto" w:sz="8" w:space="0"/>
              <w:left w:val="single" w:color="auto" w:sz="8" w:space="0"/>
              <w:bottom w:val="single" w:color="auto" w:sz="4" w:space="0"/>
              <w:right w:val="single" w:color="auto" w:sz="4" w:space="0"/>
            </w:tcBorders>
            <w:tcMar>
              <w:top w:w="57" w:type="dxa"/>
              <w:left w:w="108" w:type="dxa"/>
              <w:bottom w:w="57" w:type="dxa"/>
              <w:right w:w="108" w:type="dxa"/>
            </w:tcMar>
            <w:vAlign w:val="center"/>
          </w:tcPr>
          <w:p w14:paraId="21FC84D8">
            <w:pPr>
              <w:adjustRightInd w:val="0"/>
              <w:snapToGrid w:val="0"/>
              <w:ind w:firstLine="0" w:firstLineChars="0"/>
              <w:jc w:val="center"/>
              <w:rPr>
                <w:rFonts w:hint="eastAsia"/>
                <w:b/>
                <w:bCs/>
              </w:rPr>
            </w:pPr>
            <w:r>
              <w:rPr>
                <w:rFonts w:hint="eastAsia"/>
                <w:b/>
                <w:bCs/>
              </w:rPr>
              <w:t>一级</w:t>
            </w:r>
          </w:p>
          <w:p w14:paraId="6F8105DE">
            <w:pPr>
              <w:adjustRightInd w:val="0"/>
              <w:snapToGrid w:val="0"/>
              <w:ind w:firstLine="0" w:firstLineChars="0"/>
              <w:jc w:val="center"/>
              <w:rPr>
                <w:rFonts w:hint="eastAsia"/>
                <w:b/>
                <w:bCs/>
              </w:rPr>
            </w:pPr>
            <w:r>
              <w:rPr>
                <w:rFonts w:hint="eastAsia"/>
                <w:b/>
                <w:bCs/>
              </w:rPr>
              <w:t>指标</w:t>
            </w:r>
          </w:p>
        </w:tc>
        <w:tc>
          <w:tcPr>
            <w:tcW w:w="1473"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43CB06B7">
            <w:pPr>
              <w:adjustRightInd w:val="0"/>
              <w:snapToGrid w:val="0"/>
              <w:ind w:firstLine="0" w:firstLineChars="0"/>
              <w:jc w:val="center"/>
              <w:rPr>
                <w:rFonts w:hint="eastAsia"/>
                <w:b/>
                <w:bCs/>
              </w:rPr>
            </w:pPr>
            <w:r>
              <w:rPr>
                <w:rFonts w:hint="eastAsia"/>
                <w:b/>
                <w:bCs/>
              </w:rPr>
              <w:t>二级指标</w:t>
            </w:r>
          </w:p>
        </w:tc>
        <w:tc>
          <w:tcPr>
            <w:tcW w:w="2454" w:type="dxa"/>
            <w:tcBorders>
              <w:top w:val="single" w:color="auto" w:sz="8"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ECD7810">
            <w:pPr>
              <w:adjustRightInd w:val="0"/>
              <w:snapToGrid w:val="0"/>
              <w:ind w:firstLine="0" w:firstLineChars="0"/>
              <w:jc w:val="center"/>
              <w:rPr>
                <w:rFonts w:hint="eastAsia"/>
                <w:b/>
                <w:bCs/>
              </w:rPr>
            </w:pPr>
            <w:r>
              <w:rPr>
                <w:rFonts w:hint="eastAsia"/>
                <w:b/>
                <w:bCs/>
              </w:rPr>
              <w:t>判定基准</w:t>
            </w:r>
          </w:p>
        </w:tc>
        <w:tc>
          <w:tcPr>
            <w:tcW w:w="3860" w:type="dxa"/>
            <w:tcBorders>
              <w:top w:val="single" w:color="auto" w:sz="8" w:space="0"/>
              <w:left w:val="single" w:color="auto" w:sz="4" w:space="0"/>
              <w:bottom w:val="single" w:color="auto" w:sz="4" w:space="0"/>
              <w:right w:val="single" w:color="auto" w:sz="4" w:space="0"/>
            </w:tcBorders>
            <w:vAlign w:val="center"/>
          </w:tcPr>
          <w:p w14:paraId="0B83F900">
            <w:pPr>
              <w:adjustRightInd w:val="0"/>
              <w:snapToGrid w:val="0"/>
              <w:ind w:firstLine="0" w:firstLineChars="0"/>
              <w:jc w:val="center"/>
              <w:rPr>
                <w:rFonts w:hint="eastAsia"/>
                <w:b/>
                <w:bCs/>
              </w:rPr>
            </w:pPr>
            <w:r>
              <w:rPr>
                <w:rFonts w:hint="eastAsia"/>
                <w:b/>
                <w:bCs/>
              </w:rPr>
              <w:t>判定依据</w:t>
            </w:r>
          </w:p>
          <w:p w14:paraId="60F419CA">
            <w:pPr>
              <w:adjustRightInd w:val="0"/>
              <w:snapToGrid w:val="0"/>
              <w:ind w:firstLine="0" w:firstLineChars="0"/>
              <w:jc w:val="center"/>
              <w:rPr>
                <w:rFonts w:hint="eastAsia"/>
                <w:b/>
                <w:bCs/>
              </w:rPr>
            </w:pPr>
            <w:r>
              <w:rPr>
                <w:rFonts w:hint="eastAsia"/>
                <w:b/>
                <w:bCs/>
              </w:rPr>
              <w:t>（包含但不限于）</w:t>
            </w:r>
          </w:p>
        </w:tc>
        <w:tc>
          <w:tcPr>
            <w:tcW w:w="1322" w:type="dxa"/>
            <w:tcBorders>
              <w:top w:val="single" w:color="auto" w:sz="8" w:space="0"/>
              <w:left w:val="single" w:color="auto" w:sz="4" w:space="0"/>
              <w:bottom w:val="single" w:color="auto" w:sz="4" w:space="0"/>
              <w:right w:val="single" w:color="auto" w:sz="8" w:space="0"/>
            </w:tcBorders>
            <w:vAlign w:val="center"/>
          </w:tcPr>
          <w:p w14:paraId="0F8E3B58">
            <w:pPr>
              <w:adjustRightInd w:val="0"/>
              <w:snapToGrid w:val="0"/>
              <w:ind w:firstLine="0" w:firstLineChars="0"/>
              <w:jc w:val="center"/>
              <w:rPr>
                <w:rFonts w:hint="eastAsia"/>
                <w:b/>
                <w:bCs/>
              </w:rPr>
            </w:pPr>
            <w:r>
              <w:rPr>
                <w:rFonts w:hint="eastAsia"/>
                <w:b/>
                <w:bCs/>
              </w:rPr>
              <w:t>评价取值方法</w:t>
            </w:r>
          </w:p>
        </w:tc>
      </w:tr>
      <w:tr w14:paraId="3A1A6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8" w:type="dxa"/>
            <w:vMerge w:val="restart"/>
            <w:tcBorders>
              <w:top w:val="single" w:color="auto" w:sz="4" w:space="0"/>
              <w:left w:val="single" w:color="auto" w:sz="8" w:space="0"/>
              <w:right w:val="single" w:color="auto" w:sz="4" w:space="0"/>
            </w:tcBorders>
            <w:tcMar>
              <w:top w:w="57" w:type="dxa"/>
              <w:left w:w="108" w:type="dxa"/>
              <w:bottom w:w="57" w:type="dxa"/>
              <w:right w:w="108" w:type="dxa"/>
            </w:tcMar>
            <w:vAlign w:val="center"/>
          </w:tcPr>
          <w:p w14:paraId="08B1EE3F">
            <w:pPr>
              <w:adjustRightInd w:val="0"/>
              <w:snapToGrid w:val="0"/>
              <w:ind w:firstLine="0" w:firstLineChars="0"/>
              <w:jc w:val="center"/>
              <w:rPr>
                <w:rFonts w:hint="eastAsia"/>
              </w:rPr>
            </w:pPr>
            <w:r>
              <w:rPr>
                <w:rFonts w:hint="eastAsia"/>
              </w:rPr>
              <w:t>4 课程体系</w:t>
            </w:r>
          </w:p>
        </w:tc>
        <w:tc>
          <w:tcPr>
            <w:tcW w:w="1473"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2D0D8BFA">
            <w:pPr>
              <w:adjustRightInd w:val="0"/>
              <w:snapToGrid w:val="0"/>
              <w:ind w:firstLine="0" w:firstLineChars="0"/>
              <w:jc w:val="center"/>
              <w:rPr>
                <w:rFonts w:hint="eastAsia"/>
              </w:rPr>
            </w:pPr>
            <w:r>
              <w:rPr>
                <w:rFonts w:hint="eastAsia"/>
              </w:rPr>
              <w:t>4.5专业基础知识领域</w:t>
            </w:r>
          </w:p>
        </w:tc>
        <w:tc>
          <w:tcPr>
            <w:tcW w:w="245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7BBFCC49">
            <w:pPr>
              <w:pStyle w:val="30"/>
              <w:snapToGrid w:val="0"/>
              <w:spacing w:line="240" w:lineRule="auto"/>
              <w:rPr>
                <w:b w:val="0"/>
                <w:bCs/>
              </w:rPr>
            </w:pPr>
            <w:r>
              <w:rPr>
                <w:rFonts w:hint="eastAsia"/>
                <w:b w:val="0"/>
                <w:bCs/>
              </w:rPr>
              <w:t>在教育部公布的相关专业简介与专业教学标准中建议的专业基础知识领域内开设不少于4门专业基础课程，在专业特色服务面向的基础知识领域内开设不少于1门专业基础课程</w:t>
            </w:r>
          </w:p>
        </w:tc>
        <w:tc>
          <w:tcPr>
            <w:tcW w:w="3860" w:type="dxa"/>
            <w:tcBorders>
              <w:top w:val="single" w:color="auto" w:sz="4" w:space="0"/>
              <w:left w:val="single" w:color="auto" w:sz="4" w:space="0"/>
              <w:bottom w:val="single" w:color="auto" w:sz="4" w:space="0"/>
              <w:right w:val="single" w:color="auto" w:sz="4" w:space="0"/>
            </w:tcBorders>
            <w:vAlign w:val="center"/>
          </w:tcPr>
          <w:p w14:paraId="080CFDE4">
            <w:pPr>
              <w:pStyle w:val="30"/>
              <w:snapToGrid w:val="0"/>
              <w:spacing w:line="240" w:lineRule="auto"/>
              <w:rPr>
                <w:b w:val="0"/>
                <w:bCs/>
              </w:rPr>
            </w:pPr>
            <w:r>
              <w:rPr>
                <w:rFonts w:hint="eastAsia"/>
                <w:b w:val="0"/>
                <w:bCs/>
              </w:rPr>
              <w:t xml:space="preserve">在教育部公布的相关专业简介与专业教学标准中建议的专业基础知识领域内开设的专业基础课程数的统计和审核材料 </w:t>
            </w:r>
          </w:p>
          <w:p w14:paraId="7574C08F">
            <w:pPr>
              <w:pStyle w:val="30"/>
              <w:snapToGrid w:val="0"/>
              <w:spacing w:line="240" w:lineRule="auto"/>
              <w:rPr>
                <w:b w:val="0"/>
                <w:bCs/>
              </w:rPr>
            </w:pPr>
            <w:r>
              <w:rPr>
                <w:rFonts w:hint="eastAsia"/>
                <w:b w:val="0"/>
                <w:bCs/>
              </w:rPr>
              <w:t>在专业特色服务面向的基础知识领域内开设的专业基础课程数的统计和审核材料</w:t>
            </w:r>
          </w:p>
        </w:tc>
        <w:tc>
          <w:tcPr>
            <w:tcW w:w="1322" w:type="dxa"/>
            <w:tcBorders>
              <w:top w:val="single" w:color="auto" w:sz="4" w:space="0"/>
              <w:left w:val="single" w:color="auto" w:sz="4" w:space="0"/>
              <w:bottom w:val="single" w:color="auto" w:sz="4" w:space="0"/>
              <w:right w:val="single" w:color="auto" w:sz="8" w:space="0"/>
            </w:tcBorders>
            <w:vAlign w:val="center"/>
          </w:tcPr>
          <w:p w14:paraId="1B0C18A6">
            <w:pPr>
              <w:adjustRightInd w:val="0"/>
              <w:snapToGrid w:val="0"/>
              <w:ind w:firstLine="0" w:firstLineChars="0"/>
              <w:jc w:val="center"/>
              <w:rPr>
                <w:rFonts w:hint="eastAsia"/>
              </w:rPr>
            </w:pPr>
            <w:r>
              <w:rPr>
                <w:rFonts w:hint="eastAsia"/>
              </w:rPr>
              <w:t>证据判断法</w:t>
            </w:r>
          </w:p>
        </w:tc>
      </w:tr>
      <w:tr w14:paraId="746450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8" w:type="dxa"/>
            <w:vMerge w:val="continue"/>
            <w:tcBorders>
              <w:left w:val="single" w:color="auto" w:sz="8" w:space="0"/>
              <w:right w:val="single" w:color="auto" w:sz="4" w:space="0"/>
            </w:tcBorders>
            <w:tcMar>
              <w:top w:w="57" w:type="dxa"/>
              <w:left w:w="108" w:type="dxa"/>
              <w:bottom w:w="57" w:type="dxa"/>
              <w:right w:w="108" w:type="dxa"/>
            </w:tcMar>
            <w:vAlign w:val="center"/>
          </w:tcPr>
          <w:p w14:paraId="219FDDE0">
            <w:pPr>
              <w:adjustRightInd w:val="0"/>
              <w:snapToGrid w:val="0"/>
              <w:rPr>
                <w:rFonts w:hint="eastAsia"/>
              </w:rPr>
            </w:pPr>
          </w:p>
        </w:tc>
        <w:tc>
          <w:tcPr>
            <w:tcW w:w="1473"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0D0FB02C">
            <w:pPr>
              <w:adjustRightInd w:val="0"/>
              <w:snapToGrid w:val="0"/>
              <w:rPr>
                <w:rFonts w:hint="eastAsia"/>
              </w:rPr>
            </w:pPr>
          </w:p>
        </w:tc>
        <w:tc>
          <w:tcPr>
            <w:tcW w:w="7636"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2DE63AA3">
            <w:pPr>
              <w:adjustRightInd w:val="0"/>
              <w:snapToGrid w:val="0"/>
              <w:rPr>
                <w:rFonts w:hint="eastAsia"/>
              </w:rPr>
            </w:pPr>
            <w:r>
              <w:rPr>
                <w:rFonts w:hint="eastAsia"/>
              </w:rPr>
              <w:t>制定依据：与《教育部职业教育专业教学标准-2025修（制）订》其他类的9个专业的要求符合</w:t>
            </w:r>
          </w:p>
        </w:tc>
      </w:tr>
      <w:tr w14:paraId="20E99F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8" w:type="dxa"/>
            <w:vMerge w:val="continue"/>
            <w:tcBorders>
              <w:left w:val="single" w:color="auto" w:sz="8" w:space="0"/>
              <w:right w:val="single" w:color="auto" w:sz="4" w:space="0"/>
            </w:tcBorders>
            <w:vAlign w:val="center"/>
          </w:tcPr>
          <w:p w14:paraId="4782CDBA">
            <w:pPr>
              <w:adjustRightInd w:val="0"/>
              <w:snapToGrid w:val="0"/>
              <w:rPr>
                <w:rFonts w:hint="eastAsia"/>
              </w:rPr>
            </w:pPr>
          </w:p>
        </w:tc>
        <w:tc>
          <w:tcPr>
            <w:tcW w:w="1473"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001B22D4">
            <w:pPr>
              <w:adjustRightInd w:val="0"/>
              <w:snapToGrid w:val="0"/>
              <w:ind w:firstLine="0" w:firstLineChars="0"/>
              <w:jc w:val="center"/>
              <w:rPr>
                <w:rFonts w:hint="eastAsia"/>
              </w:rPr>
            </w:pPr>
            <w:r>
              <w:rPr>
                <w:rFonts w:hint="eastAsia"/>
              </w:rPr>
              <w:t>4.6专业技能训练项目</w:t>
            </w:r>
          </w:p>
        </w:tc>
        <w:tc>
          <w:tcPr>
            <w:tcW w:w="245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2C13D2B8">
            <w:pPr>
              <w:pStyle w:val="30"/>
              <w:snapToGrid w:val="0"/>
              <w:spacing w:line="240" w:lineRule="auto"/>
              <w:rPr>
                <w:b w:val="0"/>
                <w:bCs/>
              </w:rPr>
            </w:pPr>
            <w:r>
              <w:rPr>
                <w:rFonts w:hint="eastAsia"/>
                <w:b w:val="0"/>
                <w:bCs/>
              </w:rPr>
              <w:t>在教育部公布的相关专业简介与专业教学标准中建议的专业基础技能训练领域内开设3项或以上基础技能训练项目</w:t>
            </w:r>
          </w:p>
        </w:tc>
        <w:tc>
          <w:tcPr>
            <w:tcW w:w="3860" w:type="dxa"/>
            <w:tcBorders>
              <w:top w:val="single" w:color="auto" w:sz="4" w:space="0"/>
              <w:left w:val="single" w:color="auto" w:sz="4" w:space="0"/>
              <w:bottom w:val="single" w:color="auto" w:sz="4" w:space="0"/>
              <w:right w:val="single" w:color="auto" w:sz="4" w:space="0"/>
            </w:tcBorders>
            <w:vAlign w:val="center"/>
          </w:tcPr>
          <w:p w14:paraId="0F879D10">
            <w:pPr>
              <w:pStyle w:val="30"/>
              <w:snapToGrid w:val="0"/>
              <w:spacing w:line="240" w:lineRule="auto"/>
              <w:rPr>
                <w:b w:val="0"/>
                <w:bCs/>
              </w:rPr>
            </w:pPr>
            <w:r>
              <w:rPr>
                <w:rFonts w:hint="eastAsia"/>
                <w:b w:val="0"/>
                <w:bCs/>
              </w:rPr>
              <w:t>在教育部公布的相关专业简介与专业教学标准中建议的专业基础技能训练领域内开设的基础技能训练项目的统计和审核材料</w:t>
            </w:r>
          </w:p>
        </w:tc>
        <w:tc>
          <w:tcPr>
            <w:tcW w:w="1322" w:type="dxa"/>
            <w:tcBorders>
              <w:top w:val="single" w:color="auto" w:sz="4" w:space="0"/>
              <w:left w:val="single" w:color="auto" w:sz="4" w:space="0"/>
              <w:bottom w:val="single" w:color="auto" w:sz="4" w:space="0"/>
              <w:right w:val="single" w:color="auto" w:sz="8" w:space="0"/>
            </w:tcBorders>
            <w:vAlign w:val="center"/>
          </w:tcPr>
          <w:p w14:paraId="60A123DC">
            <w:pPr>
              <w:adjustRightInd w:val="0"/>
              <w:snapToGrid w:val="0"/>
              <w:ind w:firstLine="0" w:firstLineChars="0"/>
              <w:jc w:val="center"/>
              <w:rPr>
                <w:rFonts w:hint="eastAsia"/>
              </w:rPr>
            </w:pPr>
            <w:r>
              <w:rPr>
                <w:rFonts w:hint="eastAsia"/>
              </w:rPr>
              <w:t>证据判断法</w:t>
            </w:r>
          </w:p>
        </w:tc>
      </w:tr>
      <w:tr w14:paraId="306688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8" w:type="dxa"/>
            <w:vMerge w:val="continue"/>
            <w:tcBorders>
              <w:left w:val="single" w:color="auto" w:sz="8" w:space="0"/>
              <w:bottom w:val="single" w:color="auto" w:sz="4" w:space="0"/>
              <w:right w:val="single" w:color="auto" w:sz="4" w:space="0"/>
            </w:tcBorders>
            <w:vAlign w:val="center"/>
          </w:tcPr>
          <w:p w14:paraId="3DA5CAAE">
            <w:pPr>
              <w:adjustRightInd w:val="0"/>
              <w:snapToGrid w:val="0"/>
              <w:rPr>
                <w:rFonts w:hint="eastAsia"/>
              </w:rPr>
            </w:pPr>
          </w:p>
        </w:tc>
        <w:tc>
          <w:tcPr>
            <w:tcW w:w="1473"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1C5D4B4E">
            <w:pPr>
              <w:adjustRightInd w:val="0"/>
              <w:snapToGrid w:val="0"/>
              <w:rPr>
                <w:rFonts w:hint="eastAsia"/>
              </w:rPr>
            </w:pPr>
          </w:p>
        </w:tc>
        <w:tc>
          <w:tcPr>
            <w:tcW w:w="7636"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421EBDDC">
            <w:pPr>
              <w:adjustRightInd w:val="0"/>
              <w:snapToGrid w:val="0"/>
              <w:rPr>
                <w:rFonts w:hint="eastAsia"/>
              </w:rPr>
            </w:pPr>
            <w:r>
              <w:rPr>
                <w:rFonts w:hint="eastAsia"/>
              </w:rPr>
              <w:t>制定依据：与《教育部职业教育专业教学标准-2025修（制）订》其他类的9个专业的要求符合</w:t>
            </w:r>
          </w:p>
        </w:tc>
      </w:tr>
      <w:tr w14:paraId="4BCC91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8" w:type="dxa"/>
            <w:vMerge w:val="restart"/>
            <w:tcBorders>
              <w:top w:val="single" w:color="auto" w:sz="4" w:space="0"/>
              <w:left w:val="single" w:color="auto" w:sz="8" w:space="0"/>
              <w:right w:val="single" w:color="auto" w:sz="4" w:space="0"/>
            </w:tcBorders>
            <w:tcMar>
              <w:top w:w="57" w:type="dxa"/>
              <w:left w:w="108" w:type="dxa"/>
              <w:bottom w:w="57" w:type="dxa"/>
              <w:right w:w="108" w:type="dxa"/>
            </w:tcMar>
            <w:vAlign w:val="center"/>
          </w:tcPr>
          <w:p w14:paraId="689144B7">
            <w:pPr>
              <w:adjustRightInd w:val="0"/>
              <w:snapToGrid w:val="0"/>
              <w:ind w:firstLine="0" w:firstLineChars="0"/>
              <w:jc w:val="center"/>
              <w:rPr>
                <w:rFonts w:hint="eastAsia"/>
              </w:rPr>
            </w:pPr>
            <w:r>
              <w:rPr>
                <w:rFonts w:hint="eastAsia"/>
              </w:rPr>
              <w:t>7 师资队伍</w:t>
            </w:r>
          </w:p>
        </w:tc>
        <w:tc>
          <w:tcPr>
            <w:tcW w:w="1473"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280602DD">
            <w:pPr>
              <w:adjustRightInd w:val="0"/>
              <w:snapToGrid w:val="0"/>
              <w:ind w:firstLine="0" w:firstLineChars="0"/>
              <w:jc w:val="center"/>
              <w:rPr>
                <w:rFonts w:hint="eastAsia"/>
              </w:rPr>
            </w:pPr>
            <w:r>
              <w:rPr>
                <w:rFonts w:hint="eastAsia"/>
              </w:rPr>
              <w:t>7.4专业教师学科背景</w:t>
            </w:r>
          </w:p>
        </w:tc>
        <w:tc>
          <w:tcPr>
            <w:tcW w:w="245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9A89EB9">
            <w:pPr>
              <w:pStyle w:val="30"/>
              <w:snapToGrid w:val="0"/>
              <w:spacing w:line="240" w:lineRule="auto"/>
              <w:rPr>
                <w:b w:val="0"/>
                <w:bCs/>
              </w:rPr>
            </w:pPr>
            <w:r>
              <w:rPr>
                <w:rFonts w:hint="eastAsia"/>
                <w:b w:val="0"/>
                <w:bCs/>
              </w:rPr>
              <w:t>8</w:t>
            </w:r>
            <w:r>
              <w:rPr>
                <w:b w:val="0"/>
                <w:bCs/>
              </w:rPr>
              <w:t>0</w:t>
            </w:r>
            <w:r>
              <w:rPr>
                <w:rFonts w:hint="eastAsia"/>
                <w:b w:val="0"/>
                <w:bCs/>
              </w:rPr>
              <w:t>%专业教师在本科、硕士和博士三个学历阶段中，有一个阶段是本专业类别的学历</w:t>
            </w:r>
          </w:p>
        </w:tc>
        <w:tc>
          <w:tcPr>
            <w:tcW w:w="3860" w:type="dxa"/>
            <w:tcBorders>
              <w:top w:val="single" w:color="auto" w:sz="4" w:space="0"/>
              <w:left w:val="single" w:color="auto" w:sz="4" w:space="0"/>
              <w:bottom w:val="single" w:color="auto" w:sz="4" w:space="0"/>
              <w:right w:val="single" w:color="auto" w:sz="4" w:space="0"/>
            </w:tcBorders>
            <w:vAlign w:val="center"/>
          </w:tcPr>
          <w:p w14:paraId="24DDC8CB">
            <w:pPr>
              <w:pStyle w:val="30"/>
              <w:snapToGrid w:val="0"/>
              <w:spacing w:line="240" w:lineRule="auto"/>
              <w:rPr>
                <w:b w:val="0"/>
                <w:bCs/>
              </w:rPr>
            </w:pPr>
            <w:r>
              <w:rPr>
                <w:rFonts w:hint="eastAsia"/>
                <w:b w:val="0"/>
                <w:bCs/>
              </w:rPr>
              <w:t>专业教师在本科、硕士和博士三个学历阶段中获得的本专业类别学历的统计和审核材料</w:t>
            </w:r>
          </w:p>
        </w:tc>
        <w:tc>
          <w:tcPr>
            <w:tcW w:w="1322" w:type="dxa"/>
            <w:tcBorders>
              <w:top w:val="single" w:color="auto" w:sz="4" w:space="0"/>
              <w:left w:val="single" w:color="auto" w:sz="4" w:space="0"/>
              <w:bottom w:val="single" w:color="auto" w:sz="4" w:space="0"/>
              <w:right w:val="single" w:color="auto" w:sz="8" w:space="0"/>
            </w:tcBorders>
            <w:vAlign w:val="center"/>
          </w:tcPr>
          <w:p w14:paraId="6B6CE651">
            <w:pPr>
              <w:adjustRightInd w:val="0"/>
              <w:snapToGrid w:val="0"/>
              <w:ind w:firstLine="0" w:firstLineChars="0"/>
              <w:jc w:val="center"/>
              <w:rPr>
                <w:rFonts w:hint="eastAsia"/>
              </w:rPr>
            </w:pPr>
            <w:r>
              <w:rPr>
                <w:rFonts w:hint="eastAsia"/>
              </w:rPr>
              <w:t>证据判断法</w:t>
            </w:r>
          </w:p>
        </w:tc>
      </w:tr>
      <w:tr w14:paraId="762F1E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8" w:type="dxa"/>
            <w:vMerge w:val="continue"/>
            <w:tcBorders>
              <w:left w:val="single" w:color="auto" w:sz="8" w:space="0"/>
              <w:right w:val="single" w:color="auto" w:sz="4" w:space="0"/>
            </w:tcBorders>
            <w:tcMar>
              <w:top w:w="57" w:type="dxa"/>
              <w:left w:w="108" w:type="dxa"/>
              <w:bottom w:w="57" w:type="dxa"/>
              <w:right w:w="108" w:type="dxa"/>
            </w:tcMar>
            <w:vAlign w:val="center"/>
          </w:tcPr>
          <w:p w14:paraId="01FEB655">
            <w:pPr>
              <w:adjustRightInd w:val="0"/>
              <w:snapToGrid w:val="0"/>
              <w:rPr>
                <w:rFonts w:hint="eastAsia"/>
              </w:rPr>
            </w:pPr>
          </w:p>
        </w:tc>
        <w:tc>
          <w:tcPr>
            <w:tcW w:w="1473"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23A58BBC">
            <w:pPr>
              <w:adjustRightInd w:val="0"/>
              <w:snapToGrid w:val="0"/>
              <w:rPr>
                <w:rFonts w:hint="eastAsia"/>
              </w:rPr>
            </w:pPr>
          </w:p>
        </w:tc>
        <w:tc>
          <w:tcPr>
            <w:tcW w:w="7636"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20EE6F43">
            <w:pPr>
              <w:adjustRightInd w:val="0"/>
              <w:snapToGrid w:val="0"/>
              <w:rPr>
                <w:rFonts w:hint="eastAsia"/>
              </w:rPr>
            </w:pPr>
            <w:r>
              <w:rPr>
                <w:rFonts w:hint="eastAsia"/>
              </w:rPr>
              <w:t>制定依据：与机械行业高职院校专任教师招聘的学历准入标准调研的结论一致</w:t>
            </w:r>
          </w:p>
        </w:tc>
      </w:tr>
      <w:tr w14:paraId="511818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8" w:type="dxa"/>
            <w:vMerge w:val="continue"/>
            <w:tcBorders>
              <w:left w:val="single" w:color="auto" w:sz="8" w:space="0"/>
              <w:right w:val="single" w:color="auto" w:sz="4" w:space="0"/>
            </w:tcBorders>
            <w:vAlign w:val="center"/>
          </w:tcPr>
          <w:p w14:paraId="08A49C95">
            <w:pPr>
              <w:adjustRightInd w:val="0"/>
              <w:snapToGrid w:val="0"/>
              <w:rPr>
                <w:rFonts w:hint="eastAsia"/>
              </w:rPr>
            </w:pPr>
          </w:p>
        </w:tc>
        <w:tc>
          <w:tcPr>
            <w:tcW w:w="1473"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2E17AE83">
            <w:pPr>
              <w:adjustRightInd w:val="0"/>
              <w:snapToGrid w:val="0"/>
              <w:ind w:firstLine="0" w:firstLineChars="0"/>
              <w:jc w:val="center"/>
              <w:rPr>
                <w:rFonts w:hint="eastAsia"/>
              </w:rPr>
            </w:pPr>
            <w:r>
              <w:rPr>
                <w:rFonts w:hint="eastAsia"/>
              </w:rPr>
              <w:t>7.5专业教师技能要求</w:t>
            </w:r>
          </w:p>
        </w:tc>
        <w:tc>
          <w:tcPr>
            <w:tcW w:w="245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5D8E9BC6">
            <w:pPr>
              <w:pStyle w:val="30"/>
              <w:snapToGrid w:val="0"/>
              <w:spacing w:line="240" w:lineRule="auto"/>
              <w:rPr>
                <w:b w:val="0"/>
                <w:bCs/>
              </w:rPr>
            </w:pPr>
            <w:r>
              <w:rPr>
                <w:rFonts w:hint="eastAsia"/>
                <w:b w:val="0"/>
                <w:bCs/>
              </w:rPr>
              <w:t>从事专业教学三年或以上专业教师获得一个与专业相关或与授课课程相关的、公认的职业资格证书或技能等级证书</w:t>
            </w:r>
          </w:p>
        </w:tc>
        <w:tc>
          <w:tcPr>
            <w:tcW w:w="3860" w:type="dxa"/>
            <w:tcBorders>
              <w:top w:val="single" w:color="auto" w:sz="4" w:space="0"/>
              <w:left w:val="single" w:color="auto" w:sz="4" w:space="0"/>
              <w:bottom w:val="single" w:color="auto" w:sz="4" w:space="0"/>
              <w:right w:val="single" w:color="auto" w:sz="4" w:space="0"/>
            </w:tcBorders>
            <w:vAlign w:val="center"/>
          </w:tcPr>
          <w:p w14:paraId="42FAE002">
            <w:pPr>
              <w:pStyle w:val="30"/>
              <w:snapToGrid w:val="0"/>
              <w:spacing w:line="240" w:lineRule="auto"/>
              <w:rPr>
                <w:b w:val="0"/>
                <w:bCs/>
              </w:rPr>
            </w:pPr>
            <w:r>
              <w:rPr>
                <w:rFonts w:hint="eastAsia"/>
                <w:b w:val="0"/>
                <w:bCs/>
              </w:rPr>
              <w:t>专业教师获得的与专业相关或与授课课程相关的、公认的职业资格证书或技能等级证书的统计和审核材料</w:t>
            </w:r>
          </w:p>
        </w:tc>
        <w:tc>
          <w:tcPr>
            <w:tcW w:w="1322" w:type="dxa"/>
            <w:tcBorders>
              <w:top w:val="single" w:color="auto" w:sz="4" w:space="0"/>
              <w:left w:val="single" w:color="auto" w:sz="4" w:space="0"/>
              <w:bottom w:val="single" w:color="auto" w:sz="4" w:space="0"/>
              <w:right w:val="single" w:color="auto" w:sz="8" w:space="0"/>
            </w:tcBorders>
            <w:vAlign w:val="center"/>
          </w:tcPr>
          <w:p w14:paraId="2D7087D7">
            <w:pPr>
              <w:adjustRightInd w:val="0"/>
              <w:snapToGrid w:val="0"/>
              <w:ind w:firstLine="0" w:firstLineChars="0"/>
              <w:jc w:val="center"/>
              <w:rPr>
                <w:rFonts w:hint="eastAsia"/>
              </w:rPr>
            </w:pPr>
            <w:r>
              <w:rPr>
                <w:rFonts w:hint="eastAsia"/>
              </w:rPr>
              <w:t>证据判断法</w:t>
            </w:r>
          </w:p>
        </w:tc>
      </w:tr>
      <w:tr w14:paraId="27B376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8" w:type="dxa"/>
            <w:vMerge w:val="continue"/>
            <w:tcBorders>
              <w:left w:val="single" w:color="auto" w:sz="8" w:space="0"/>
              <w:right w:val="single" w:color="auto" w:sz="4" w:space="0"/>
            </w:tcBorders>
            <w:vAlign w:val="center"/>
          </w:tcPr>
          <w:p w14:paraId="246349DD">
            <w:pPr>
              <w:adjustRightInd w:val="0"/>
              <w:snapToGrid w:val="0"/>
              <w:rPr>
                <w:rFonts w:hint="eastAsia"/>
              </w:rPr>
            </w:pPr>
          </w:p>
        </w:tc>
        <w:tc>
          <w:tcPr>
            <w:tcW w:w="1473"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101577E2">
            <w:pPr>
              <w:adjustRightInd w:val="0"/>
              <w:snapToGrid w:val="0"/>
              <w:rPr>
                <w:rFonts w:hint="eastAsia"/>
              </w:rPr>
            </w:pPr>
          </w:p>
        </w:tc>
        <w:tc>
          <w:tcPr>
            <w:tcW w:w="7636"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22A4CF5A">
            <w:pPr>
              <w:adjustRightInd w:val="0"/>
              <w:snapToGrid w:val="0"/>
              <w:rPr>
                <w:rFonts w:hint="eastAsia"/>
              </w:rPr>
            </w:pPr>
            <w:r>
              <w:rPr>
                <w:rFonts w:hint="eastAsia"/>
              </w:rPr>
              <w:t>制定依据：与《高等职业学校办学条件监测指标（试行）》四 41条款符合</w:t>
            </w:r>
          </w:p>
        </w:tc>
      </w:tr>
      <w:tr w14:paraId="552D84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8" w:type="dxa"/>
            <w:vMerge w:val="continue"/>
            <w:tcBorders>
              <w:left w:val="single" w:color="auto" w:sz="8" w:space="0"/>
              <w:right w:val="single" w:color="auto" w:sz="4" w:space="0"/>
            </w:tcBorders>
            <w:vAlign w:val="center"/>
          </w:tcPr>
          <w:p w14:paraId="2ADBBF08">
            <w:pPr>
              <w:adjustRightInd w:val="0"/>
              <w:snapToGrid w:val="0"/>
              <w:rPr>
                <w:rFonts w:hint="eastAsia"/>
              </w:rPr>
            </w:pPr>
          </w:p>
        </w:tc>
        <w:tc>
          <w:tcPr>
            <w:tcW w:w="1473"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14:paraId="4B3C71FE">
            <w:pPr>
              <w:adjustRightInd w:val="0"/>
              <w:snapToGrid w:val="0"/>
              <w:ind w:firstLine="0" w:firstLineChars="0"/>
              <w:jc w:val="center"/>
              <w:rPr>
                <w:rFonts w:hint="eastAsia"/>
              </w:rPr>
            </w:pPr>
            <w:r>
              <w:rPr>
                <w:rFonts w:hint="eastAsia"/>
              </w:rPr>
              <w:t>7.6企业导师</w:t>
            </w:r>
          </w:p>
        </w:tc>
        <w:tc>
          <w:tcPr>
            <w:tcW w:w="245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68EE002D">
            <w:pPr>
              <w:pStyle w:val="30"/>
              <w:snapToGrid w:val="0"/>
              <w:spacing w:line="240" w:lineRule="auto"/>
              <w:rPr>
                <w:b w:val="0"/>
                <w:bCs/>
              </w:rPr>
            </w:pPr>
            <w:r>
              <w:rPr>
                <w:rFonts w:hint="eastAsia"/>
                <w:b w:val="0"/>
                <w:bCs/>
              </w:rPr>
              <w:t>聘</w:t>
            </w:r>
            <w:r>
              <w:rPr>
                <w:rFonts w:hint="eastAsia"/>
                <w:b w:val="0"/>
                <w:bCs/>
                <w:color w:val="000000" w:themeColor="text1"/>
                <w14:textFill>
                  <w14:solidFill>
                    <w14:schemeClr w14:val="tx1"/>
                  </w14:solidFill>
                </w14:textFill>
              </w:rPr>
              <w:t>用企业中与专业相关岗位工作的技术骨干为企业导师</w:t>
            </w:r>
          </w:p>
        </w:tc>
        <w:tc>
          <w:tcPr>
            <w:tcW w:w="3860" w:type="dxa"/>
            <w:tcBorders>
              <w:top w:val="single" w:color="auto" w:sz="4" w:space="0"/>
              <w:left w:val="single" w:color="auto" w:sz="4" w:space="0"/>
              <w:bottom w:val="single" w:color="auto" w:sz="4" w:space="0"/>
              <w:right w:val="single" w:color="auto" w:sz="4" w:space="0"/>
            </w:tcBorders>
            <w:vAlign w:val="center"/>
          </w:tcPr>
          <w:p w14:paraId="0D89B590">
            <w:pPr>
              <w:pStyle w:val="30"/>
              <w:snapToGrid w:val="0"/>
              <w:spacing w:line="240" w:lineRule="auto"/>
              <w:rPr>
                <w:b w:val="0"/>
                <w:bCs/>
              </w:rPr>
            </w:pPr>
            <w:r>
              <w:rPr>
                <w:rFonts w:hint="eastAsia"/>
                <w:b w:val="0"/>
                <w:bCs/>
              </w:rPr>
              <w:t>近三年聘用的企业导师聘用协议文本汇总材料</w:t>
            </w:r>
          </w:p>
          <w:p w14:paraId="77070869">
            <w:pPr>
              <w:pStyle w:val="30"/>
              <w:snapToGrid w:val="0"/>
              <w:spacing w:line="240" w:lineRule="auto"/>
              <w:rPr>
                <w:b w:val="0"/>
                <w:bCs/>
              </w:rPr>
            </w:pPr>
            <w:r>
              <w:rPr>
                <w:rFonts w:hint="eastAsia"/>
                <w:b w:val="0"/>
                <w:bCs/>
              </w:rPr>
              <w:t xml:space="preserve">近三年聘用的企业导师的技术背景、岗位背景、个人基本信息材料 </w:t>
            </w:r>
          </w:p>
        </w:tc>
        <w:tc>
          <w:tcPr>
            <w:tcW w:w="1322" w:type="dxa"/>
            <w:tcBorders>
              <w:top w:val="single" w:color="auto" w:sz="4" w:space="0"/>
              <w:left w:val="single" w:color="auto" w:sz="4" w:space="0"/>
              <w:bottom w:val="single" w:color="auto" w:sz="4" w:space="0"/>
              <w:right w:val="single" w:color="auto" w:sz="8" w:space="0"/>
            </w:tcBorders>
            <w:vAlign w:val="center"/>
          </w:tcPr>
          <w:p w14:paraId="63DA9FB3">
            <w:pPr>
              <w:adjustRightInd w:val="0"/>
              <w:snapToGrid w:val="0"/>
              <w:ind w:firstLine="0" w:firstLineChars="0"/>
              <w:jc w:val="center"/>
              <w:rPr>
                <w:rFonts w:hint="eastAsia"/>
              </w:rPr>
            </w:pPr>
            <w:r>
              <w:rPr>
                <w:rFonts w:hint="eastAsia"/>
              </w:rPr>
              <w:t>证据判断法</w:t>
            </w:r>
          </w:p>
        </w:tc>
      </w:tr>
      <w:tr w14:paraId="2AD21A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8" w:type="dxa"/>
            <w:vMerge w:val="continue"/>
            <w:tcBorders>
              <w:left w:val="single" w:color="auto" w:sz="8" w:space="0"/>
              <w:right w:val="single" w:color="auto" w:sz="4" w:space="0"/>
            </w:tcBorders>
            <w:vAlign w:val="center"/>
          </w:tcPr>
          <w:p w14:paraId="4E318667">
            <w:pPr>
              <w:adjustRightInd w:val="0"/>
              <w:snapToGrid w:val="0"/>
              <w:rPr>
                <w:rFonts w:hint="eastAsia"/>
              </w:rPr>
            </w:pPr>
          </w:p>
        </w:tc>
        <w:tc>
          <w:tcPr>
            <w:tcW w:w="1473" w:type="dxa"/>
            <w:vMerge w:val="continue"/>
            <w:tcBorders>
              <w:left w:val="single" w:color="auto" w:sz="4" w:space="0"/>
              <w:right w:val="single" w:color="auto" w:sz="4" w:space="0"/>
            </w:tcBorders>
            <w:tcMar>
              <w:top w:w="57" w:type="dxa"/>
              <w:left w:w="108" w:type="dxa"/>
              <w:bottom w:w="57" w:type="dxa"/>
              <w:right w:w="108" w:type="dxa"/>
            </w:tcMar>
            <w:vAlign w:val="center"/>
          </w:tcPr>
          <w:p w14:paraId="5CFDF6A8">
            <w:pPr>
              <w:adjustRightInd w:val="0"/>
              <w:snapToGrid w:val="0"/>
              <w:rPr>
                <w:rFonts w:hint="eastAsia"/>
              </w:rPr>
            </w:pPr>
          </w:p>
        </w:tc>
        <w:tc>
          <w:tcPr>
            <w:tcW w:w="7636"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15EC71B0">
            <w:pPr>
              <w:adjustRightInd w:val="0"/>
              <w:snapToGrid w:val="0"/>
              <w:rPr>
                <w:rFonts w:hint="eastAsia"/>
              </w:rPr>
            </w:pPr>
            <w:r>
              <w:rPr>
                <w:rFonts w:hint="eastAsia"/>
              </w:rPr>
              <w:t>制定依据：与《高等职业学校办学条件监测指标（试行）》五 9 （1）条款一致</w:t>
            </w:r>
          </w:p>
        </w:tc>
      </w:tr>
      <w:tr w14:paraId="0566DC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8" w:type="dxa"/>
            <w:vMerge w:val="continue"/>
            <w:tcBorders>
              <w:left w:val="single" w:color="auto" w:sz="8" w:space="0"/>
              <w:right w:val="single" w:color="auto" w:sz="4" w:space="0"/>
            </w:tcBorders>
            <w:vAlign w:val="center"/>
          </w:tcPr>
          <w:p w14:paraId="59521E44">
            <w:pPr>
              <w:adjustRightInd w:val="0"/>
              <w:snapToGrid w:val="0"/>
              <w:rPr>
                <w:rFonts w:hint="eastAsia"/>
              </w:rPr>
            </w:pPr>
          </w:p>
        </w:tc>
        <w:tc>
          <w:tcPr>
            <w:tcW w:w="1473" w:type="dxa"/>
            <w:vMerge w:val="continue"/>
            <w:tcBorders>
              <w:left w:val="single" w:color="auto" w:sz="4" w:space="0"/>
              <w:right w:val="single" w:color="auto" w:sz="4" w:space="0"/>
            </w:tcBorders>
            <w:tcMar>
              <w:top w:w="57" w:type="dxa"/>
              <w:left w:w="108" w:type="dxa"/>
              <w:bottom w:w="57" w:type="dxa"/>
              <w:right w:w="108" w:type="dxa"/>
            </w:tcMar>
            <w:vAlign w:val="center"/>
          </w:tcPr>
          <w:p w14:paraId="3E5FFEA1">
            <w:pPr>
              <w:adjustRightInd w:val="0"/>
              <w:snapToGrid w:val="0"/>
              <w:rPr>
                <w:rFonts w:hint="eastAsia"/>
              </w:rPr>
            </w:pPr>
          </w:p>
        </w:tc>
        <w:tc>
          <w:tcPr>
            <w:tcW w:w="245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14:paraId="03B83DDC">
            <w:pPr>
              <w:snapToGrid w:val="0"/>
              <w:rPr>
                <w:rFonts w:hint="eastAsia"/>
                <w:bCs/>
              </w:rPr>
            </w:pPr>
            <w:r>
              <w:rPr>
                <w:rFonts w:hint="eastAsia"/>
                <w:bCs/>
              </w:rPr>
              <w:t>企业导师每学年任课量占专业总教学工作量15%以上</w:t>
            </w:r>
          </w:p>
        </w:tc>
        <w:tc>
          <w:tcPr>
            <w:tcW w:w="3860" w:type="dxa"/>
            <w:tcBorders>
              <w:top w:val="single" w:color="auto" w:sz="4" w:space="0"/>
              <w:left w:val="single" w:color="auto" w:sz="4" w:space="0"/>
              <w:bottom w:val="single" w:color="auto" w:sz="4" w:space="0"/>
              <w:right w:val="single" w:color="auto" w:sz="4" w:space="0"/>
            </w:tcBorders>
            <w:vAlign w:val="center"/>
          </w:tcPr>
          <w:p w14:paraId="4E29CC74">
            <w:pPr>
              <w:pStyle w:val="30"/>
              <w:snapToGrid w:val="0"/>
              <w:spacing w:line="240" w:lineRule="auto"/>
              <w:rPr>
                <w:b w:val="0"/>
                <w:bCs/>
              </w:rPr>
            </w:pPr>
            <w:r>
              <w:rPr>
                <w:rFonts w:hint="eastAsia"/>
                <w:b w:val="0"/>
                <w:bCs/>
              </w:rPr>
              <w:t xml:space="preserve">近三年企业导师每学年任课工作量报酬或合作协议、合同等凭证 </w:t>
            </w:r>
          </w:p>
          <w:p w14:paraId="34956C70">
            <w:pPr>
              <w:snapToGrid w:val="0"/>
              <w:rPr>
                <w:rFonts w:hint="eastAsia"/>
                <w:bCs/>
              </w:rPr>
            </w:pPr>
            <w:r>
              <w:rPr>
                <w:rFonts w:hint="eastAsia"/>
                <w:bCs/>
              </w:rPr>
              <w:t>近三年企业导师每学年任课量占专业总教学工作量比例的统计和审核材料</w:t>
            </w:r>
          </w:p>
        </w:tc>
        <w:tc>
          <w:tcPr>
            <w:tcW w:w="1322" w:type="dxa"/>
            <w:tcBorders>
              <w:top w:val="single" w:color="auto" w:sz="4" w:space="0"/>
              <w:left w:val="single" w:color="auto" w:sz="4" w:space="0"/>
              <w:bottom w:val="single" w:color="auto" w:sz="4" w:space="0"/>
              <w:right w:val="single" w:color="auto" w:sz="8" w:space="0"/>
            </w:tcBorders>
            <w:vAlign w:val="center"/>
          </w:tcPr>
          <w:p w14:paraId="636DC68C">
            <w:pPr>
              <w:adjustRightInd w:val="0"/>
              <w:snapToGrid w:val="0"/>
              <w:ind w:firstLine="0" w:firstLineChars="0"/>
              <w:jc w:val="center"/>
              <w:rPr>
                <w:rFonts w:hint="eastAsia"/>
              </w:rPr>
            </w:pPr>
            <w:r>
              <w:rPr>
                <w:rFonts w:hint="eastAsia"/>
              </w:rPr>
              <w:t>证据判断法</w:t>
            </w:r>
          </w:p>
        </w:tc>
      </w:tr>
      <w:tr w14:paraId="206C7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8" w:type="dxa"/>
            <w:vMerge w:val="continue"/>
            <w:tcBorders>
              <w:left w:val="single" w:color="auto" w:sz="8" w:space="0"/>
              <w:bottom w:val="single" w:color="auto" w:sz="4" w:space="0"/>
              <w:right w:val="single" w:color="auto" w:sz="4" w:space="0"/>
            </w:tcBorders>
            <w:vAlign w:val="center"/>
          </w:tcPr>
          <w:p w14:paraId="561692DB">
            <w:pPr>
              <w:adjustRightInd w:val="0"/>
              <w:snapToGrid w:val="0"/>
              <w:rPr>
                <w:rFonts w:hint="eastAsia"/>
              </w:rPr>
            </w:pPr>
          </w:p>
        </w:tc>
        <w:tc>
          <w:tcPr>
            <w:tcW w:w="1473"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14:paraId="3B0CCB5A">
            <w:pPr>
              <w:adjustRightInd w:val="0"/>
              <w:snapToGrid w:val="0"/>
              <w:rPr>
                <w:rFonts w:hint="eastAsia"/>
              </w:rPr>
            </w:pPr>
          </w:p>
        </w:tc>
        <w:tc>
          <w:tcPr>
            <w:tcW w:w="7636" w:type="dxa"/>
            <w:gridSpan w:val="3"/>
            <w:tcBorders>
              <w:top w:val="single" w:color="auto" w:sz="4" w:space="0"/>
              <w:left w:val="single" w:color="auto" w:sz="4" w:space="0"/>
              <w:bottom w:val="single" w:color="auto" w:sz="4" w:space="0"/>
              <w:right w:val="single" w:color="auto" w:sz="8" w:space="0"/>
            </w:tcBorders>
            <w:tcMar>
              <w:top w:w="57" w:type="dxa"/>
              <w:left w:w="108" w:type="dxa"/>
              <w:bottom w:w="57" w:type="dxa"/>
              <w:right w:w="108" w:type="dxa"/>
            </w:tcMar>
            <w:vAlign w:val="center"/>
          </w:tcPr>
          <w:p w14:paraId="74E215D5">
            <w:pPr>
              <w:adjustRightInd w:val="0"/>
              <w:snapToGrid w:val="0"/>
              <w:rPr>
                <w:rFonts w:hint="eastAsia"/>
              </w:rPr>
            </w:pPr>
            <w:r>
              <w:rPr>
                <w:rFonts w:hint="eastAsia"/>
              </w:rPr>
              <w:t>制定依据：与《高等职业学校办学条件监测指标（试行）》四 31条款一致</w:t>
            </w:r>
          </w:p>
        </w:tc>
      </w:tr>
    </w:tbl>
    <w:p w14:paraId="7C8E4226">
      <w:pPr>
        <w:pStyle w:val="4"/>
        <w:rPr>
          <w:rFonts w:hint="eastAsia"/>
        </w:rPr>
      </w:pPr>
      <w:r>
        <w:rPr>
          <w:rFonts w:hint="eastAsia"/>
        </w:rPr>
        <w:t>4．试验与验证情况</w:t>
      </w:r>
    </w:p>
    <w:p w14:paraId="788CAFD3">
      <w:pPr>
        <w:pStyle w:val="5"/>
      </w:pPr>
      <w:r>
        <w:rPr>
          <w:rFonts w:hint="eastAsia"/>
        </w:rPr>
        <w:t>4.1 线上调查验证</w:t>
      </w:r>
    </w:p>
    <w:p w14:paraId="484233F4">
      <w:pPr>
        <w:adjustRightInd w:val="0"/>
        <w:snapToGrid w:val="0"/>
        <w:spacing w:line="360" w:lineRule="auto"/>
        <w:ind w:firstLine="420" w:firstLineChars="200"/>
        <w:rPr>
          <w:rFonts w:hint="eastAsia"/>
          <w:sz w:val="21"/>
          <w:szCs w:val="21"/>
        </w:rPr>
      </w:pPr>
      <w:r>
        <w:rPr>
          <w:rFonts w:hint="eastAsia"/>
          <w:sz w:val="21"/>
          <w:szCs w:val="21"/>
        </w:rPr>
        <w:t>2025年8月12日</w:t>
      </w:r>
      <w:r>
        <w:rPr>
          <w:rFonts w:hint="eastAsia" w:ascii="Times New Roman" w:hAnsi="Times New Roman"/>
          <w:sz w:val="21"/>
          <w:szCs w:val="21"/>
        </w:rPr>
        <w:t>至</w:t>
      </w:r>
      <w:r>
        <w:rPr>
          <w:rFonts w:hint="eastAsia"/>
          <w:sz w:val="21"/>
          <w:szCs w:val="21"/>
        </w:rPr>
        <w:t>8月30日，工作组以本文件通用评价要求和补充评价要求的各项指标作为调研问题，面向机械行业职业院校和合作企业，开展线上意见征询调查。根据调查数据分析，对以下指标进行了微调：</w:t>
      </w:r>
    </w:p>
    <w:p w14:paraId="2ECFECB0">
      <w:pPr>
        <w:adjustRightInd w:val="0"/>
        <w:snapToGrid w:val="0"/>
        <w:spacing w:line="360" w:lineRule="auto"/>
        <w:ind w:firstLine="210"/>
        <w:rPr>
          <w:rFonts w:hint="eastAsia" w:ascii="宋体" w:hAnsi="宋体" w:eastAsia="宋体"/>
          <w:sz w:val="21"/>
          <w:szCs w:val="21"/>
        </w:rPr>
      </w:pPr>
      <w:r>
        <w:rPr>
          <w:rFonts w:ascii="Times New Roman" w:hAnsi="Times New Roman"/>
          <w:sz w:val="21"/>
          <w:szCs w:val="21"/>
        </w:rPr>
        <w:t>——</w:t>
      </w:r>
      <w:r>
        <w:rPr>
          <w:rFonts w:hint="eastAsia"/>
          <w:sz w:val="21"/>
          <w:szCs w:val="21"/>
        </w:rPr>
        <w:t>2.2目标修订之判断依据，增设了</w:t>
      </w:r>
      <w:r>
        <w:rPr>
          <w:rFonts w:hint="eastAsia" w:ascii="宋体" w:hAnsi="宋体" w:eastAsia="宋体"/>
          <w:sz w:val="21"/>
          <w:szCs w:val="21"/>
        </w:rPr>
        <w:t>校级党组织会议审定专业人才培养方案的材料要求，保持与</w:t>
      </w:r>
      <w:r>
        <w:rPr>
          <w:rFonts w:ascii="宋体" w:hAnsi="宋体" w:eastAsia="宋体"/>
          <w:sz w:val="21"/>
          <w:szCs w:val="21"/>
        </w:rPr>
        <w:t>《教育部关于职业院校专业人才培养方案制订与实施工作的指导意见》（教职成〔2019〕13号）三（三）条款</w:t>
      </w:r>
      <w:r>
        <w:rPr>
          <w:rFonts w:hint="eastAsia" w:ascii="宋体" w:hAnsi="宋体" w:eastAsia="宋体"/>
          <w:sz w:val="21"/>
          <w:szCs w:val="21"/>
        </w:rPr>
        <w:t>要求</w:t>
      </w:r>
      <w:r>
        <w:rPr>
          <w:rFonts w:ascii="宋体" w:hAnsi="宋体" w:eastAsia="宋体"/>
          <w:sz w:val="21"/>
          <w:szCs w:val="21"/>
        </w:rPr>
        <w:t>一致</w:t>
      </w:r>
      <w:r>
        <w:rPr>
          <w:rFonts w:hint="eastAsia" w:ascii="宋体" w:hAnsi="宋体" w:eastAsia="宋体"/>
          <w:sz w:val="21"/>
          <w:szCs w:val="21"/>
        </w:rPr>
        <w:t>；</w:t>
      </w:r>
    </w:p>
    <w:p w14:paraId="79B7D5A1">
      <w:pPr>
        <w:adjustRightInd w:val="0"/>
        <w:snapToGrid w:val="0"/>
        <w:spacing w:line="360" w:lineRule="auto"/>
        <w:ind w:firstLine="210"/>
        <w:rPr>
          <w:rFonts w:hint="eastAsia" w:ascii="宋体" w:hAnsi="宋体"/>
          <w:sz w:val="21"/>
          <w:szCs w:val="21"/>
        </w:rPr>
      </w:pPr>
      <w:r>
        <w:rPr>
          <w:rFonts w:ascii="Times New Roman" w:hAnsi="Times New Roman"/>
          <w:sz w:val="21"/>
          <w:szCs w:val="21"/>
        </w:rPr>
        <w:t>——</w:t>
      </w:r>
      <w:r>
        <w:rPr>
          <w:rFonts w:hint="eastAsia"/>
          <w:sz w:val="21"/>
          <w:szCs w:val="21"/>
        </w:rPr>
        <w:t>4.1课程设置之判断基准，增设了有针对不同生源的差异化专业课程体系的要求，体现不同生源差异化教学的要求</w:t>
      </w:r>
      <w:r>
        <w:rPr>
          <w:rFonts w:hint="eastAsia" w:ascii="宋体" w:hAnsi="宋体" w:eastAsia="宋体"/>
          <w:sz w:val="21"/>
          <w:szCs w:val="21"/>
        </w:rPr>
        <w:t>；</w:t>
      </w:r>
    </w:p>
    <w:p w14:paraId="1C8B7C73">
      <w:pPr>
        <w:adjustRightInd w:val="0"/>
        <w:snapToGrid w:val="0"/>
        <w:spacing w:line="360" w:lineRule="auto"/>
        <w:ind w:firstLine="210"/>
        <w:rPr>
          <w:rFonts w:hint="eastAsia"/>
          <w:sz w:val="21"/>
          <w:szCs w:val="21"/>
        </w:rPr>
      </w:pPr>
      <w:r>
        <w:rPr>
          <w:rFonts w:ascii="Times New Roman" w:hAnsi="Times New Roman"/>
          <w:sz w:val="21"/>
          <w:szCs w:val="21"/>
        </w:rPr>
        <w:t>——</w:t>
      </w:r>
      <w:r>
        <w:rPr>
          <w:rFonts w:hint="eastAsia"/>
          <w:sz w:val="21"/>
          <w:szCs w:val="21"/>
        </w:rPr>
        <w:t>4.2公共基础课程之判断基准，调整为开足开齐公共基础课程，将思想政治理论、体育、军事理论与军训、心理健康教育、劳动教育等列为公共基础必修课程。保持与</w:t>
      </w:r>
      <w:r>
        <w:rPr>
          <w:sz w:val="21"/>
          <w:szCs w:val="21"/>
        </w:rPr>
        <w:t>《教育部关于职业院校专业人才培养方案制订与实施工作的指导意见》（教职成〔2019〕13号）二（三）条款</w:t>
      </w:r>
      <w:r>
        <w:rPr>
          <w:rFonts w:hint="eastAsia"/>
          <w:sz w:val="21"/>
          <w:szCs w:val="21"/>
        </w:rPr>
        <w:t>要求</w:t>
      </w:r>
      <w:r>
        <w:rPr>
          <w:sz w:val="21"/>
          <w:szCs w:val="21"/>
        </w:rPr>
        <w:t>一致</w:t>
      </w:r>
      <w:r>
        <w:rPr>
          <w:rFonts w:hint="eastAsia"/>
          <w:sz w:val="21"/>
          <w:szCs w:val="21"/>
        </w:rPr>
        <w:t>；</w:t>
      </w:r>
    </w:p>
    <w:p w14:paraId="2E31FE1A">
      <w:pPr>
        <w:adjustRightInd w:val="0"/>
        <w:snapToGrid w:val="0"/>
        <w:spacing w:line="360" w:lineRule="auto"/>
        <w:ind w:firstLine="210"/>
        <w:rPr>
          <w:rFonts w:hint="eastAsia"/>
        </w:rPr>
      </w:pPr>
      <w:r>
        <w:rPr>
          <w:rFonts w:ascii="Times New Roman" w:hAnsi="Times New Roman"/>
          <w:sz w:val="21"/>
          <w:szCs w:val="21"/>
        </w:rPr>
        <w:t>——</w:t>
      </w:r>
      <w:r>
        <w:rPr>
          <w:rFonts w:hint="eastAsia"/>
          <w:sz w:val="21"/>
          <w:szCs w:val="21"/>
        </w:rPr>
        <w:t>5.1教学管理制度之判断基准，增设了教材管理及学生实习符合国家相关要求的表述，以响应教材和学生实习的国家层面的事权规定；</w:t>
      </w:r>
    </w:p>
    <w:p w14:paraId="4EEDF95F">
      <w:pPr>
        <w:adjustRightInd w:val="0"/>
        <w:snapToGrid w:val="0"/>
        <w:spacing w:line="360" w:lineRule="auto"/>
        <w:ind w:firstLine="210"/>
        <w:rPr>
          <w:rFonts w:hint="eastAsia"/>
          <w:sz w:val="21"/>
          <w:szCs w:val="21"/>
        </w:rPr>
      </w:pPr>
      <w:r>
        <w:rPr>
          <w:rFonts w:ascii="Times New Roman" w:hAnsi="Times New Roman"/>
          <w:sz w:val="21"/>
          <w:szCs w:val="21"/>
        </w:rPr>
        <w:t>——</w:t>
      </w:r>
      <w:r>
        <w:rPr>
          <w:rFonts w:hint="eastAsia"/>
          <w:sz w:val="21"/>
          <w:szCs w:val="21"/>
        </w:rPr>
        <w:t>5.4课程考核之判断基准，单门课程成绩合格率由</w:t>
      </w:r>
      <w:r>
        <w:rPr>
          <w:rFonts w:ascii="Times New Roman" w:hAnsi="Times New Roman"/>
          <w:sz w:val="21"/>
          <w:szCs w:val="21"/>
        </w:rPr>
        <w:t>70%~90%调整为75%~95%</w:t>
      </w:r>
      <w:r>
        <w:rPr>
          <w:rFonts w:hint="eastAsia"/>
          <w:sz w:val="21"/>
          <w:szCs w:val="21"/>
        </w:rPr>
        <w:t>；</w:t>
      </w:r>
    </w:p>
    <w:p w14:paraId="1A8487C2">
      <w:pPr>
        <w:adjustRightInd w:val="0"/>
        <w:snapToGrid w:val="0"/>
        <w:spacing w:line="360" w:lineRule="auto"/>
        <w:ind w:firstLine="210"/>
        <w:rPr>
          <w:rFonts w:hint="eastAsia"/>
          <w:sz w:val="21"/>
          <w:szCs w:val="21"/>
        </w:rPr>
      </w:pPr>
      <w:r>
        <w:rPr>
          <w:rFonts w:ascii="Times New Roman" w:hAnsi="Times New Roman"/>
          <w:sz w:val="21"/>
          <w:szCs w:val="21"/>
        </w:rPr>
        <w:t>——</w:t>
      </w:r>
      <w:r>
        <w:rPr>
          <w:sz w:val="21"/>
          <w:szCs w:val="21"/>
        </w:rPr>
        <w:t>9.1教学设施</w:t>
      </w:r>
      <w:r>
        <w:rPr>
          <w:rFonts w:hint="eastAsia"/>
          <w:sz w:val="21"/>
          <w:szCs w:val="21"/>
        </w:rPr>
        <w:t>之判断基准，调整为专业建有金工、电工电子、机械零件与产品测绘、公差配合与测量、材料组织与性能检测、液压与气压传动、程序设计与控制、传感器应用等</w:t>
      </w:r>
      <w:r>
        <w:rPr>
          <w:sz w:val="21"/>
          <w:szCs w:val="21"/>
        </w:rPr>
        <w:t>3个</w:t>
      </w:r>
      <w:r>
        <w:rPr>
          <w:rFonts w:hint="eastAsia"/>
          <w:sz w:val="21"/>
          <w:szCs w:val="21"/>
        </w:rPr>
        <w:t>或</w:t>
      </w:r>
      <w:r>
        <w:rPr>
          <w:sz w:val="21"/>
          <w:szCs w:val="21"/>
        </w:rPr>
        <w:t>以上</w:t>
      </w:r>
      <w:r>
        <w:rPr>
          <w:rFonts w:hint="eastAsia"/>
          <w:sz w:val="21"/>
          <w:szCs w:val="21"/>
        </w:rPr>
        <w:t>基础性</w:t>
      </w:r>
      <w:r>
        <w:rPr>
          <w:sz w:val="21"/>
          <w:szCs w:val="21"/>
        </w:rPr>
        <w:t>实验实训室</w:t>
      </w:r>
      <w:r>
        <w:rPr>
          <w:rFonts w:hint="eastAsia"/>
          <w:sz w:val="21"/>
          <w:szCs w:val="21"/>
        </w:rPr>
        <w:t>，增加了液压与气压传动、程序设计与控制、传感器应用3个实验实训室，覆盖了所有专业。</w:t>
      </w:r>
    </w:p>
    <w:p w14:paraId="6958D393">
      <w:pPr>
        <w:pStyle w:val="5"/>
      </w:pPr>
      <w:r>
        <w:rPr>
          <w:rFonts w:hint="eastAsia"/>
        </w:rPr>
        <w:t>4.2 实地调查验证</w:t>
      </w:r>
    </w:p>
    <w:p w14:paraId="0FB98DCA">
      <w:pPr>
        <w:adjustRightInd w:val="0"/>
        <w:snapToGrid w:val="0"/>
        <w:spacing w:line="360" w:lineRule="auto"/>
        <w:ind w:firstLine="420" w:firstLineChars="200"/>
        <w:rPr>
          <w:rFonts w:ascii="Times New Roman" w:hAnsi="Times New Roman"/>
          <w:sz w:val="21"/>
          <w:szCs w:val="21"/>
        </w:rPr>
      </w:pPr>
      <w:r>
        <w:rPr>
          <w:rFonts w:ascii="Times New Roman" w:hAnsi="Times New Roman"/>
          <w:sz w:val="21"/>
          <w:szCs w:val="21"/>
        </w:rPr>
        <w:t>2025</w:t>
      </w:r>
      <w:r>
        <w:rPr>
          <w:rFonts w:hint="eastAsia" w:ascii="Times New Roman" w:hAnsi="Times New Roman"/>
          <w:sz w:val="21"/>
          <w:szCs w:val="21"/>
        </w:rPr>
        <w:t>年</w:t>
      </w:r>
      <w:r>
        <w:rPr>
          <w:rFonts w:ascii="Times New Roman" w:hAnsi="Times New Roman"/>
          <w:sz w:val="21"/>
          <w:szCs w:val="21"/>
        </w:rPr>
        <w:t>8</w:t>
      </w:r>
      <w:r>
        <w:rPr>
          <w:rFonts w:hint="eastAsia" w:ascii="Times New Roman" w:hAnsi="Times New Roman"/>
          <w:sz w:val="21"/>
          <w:szCs w:val="21"/>
        </w:rPr>
        <w:t>月至</w:t>
      </w:r>
      <w:r>
        <w:rPr>
          <w:rFonts w:ascii="Times New Roman" w:hAnsi="Times New Roman"/>
          <w:sz w:val="21"/>
          <w:szCs w:val="21"/>
        </w:rPr>
        <w:t>9</w:t>
      </w:r>
      <w:r>
        <w:rPr>
          <w:rFonts w:hint="eastAsia" w:ascii="Times New Roman" w:hAnsi="Times New Roman"/>
          <w:sz w:val="21"/>
          <w:szCs w:val="21"/>
        </w:rPr>
        <w:t>月，工作组实地走访了包头职业技术学院、广西机电职业技术学院、江西制造职业技术学院和杭州科技职业技术学院，以本文件的通用评价</w:t>
      </w:r>
      <w:r>
        <w:rPr>
          <w:rFonts w:hint="eastAsia"/>
          <w:sz w:val="21"/>
          <w:szCs w:val="21"/>
        </w:rPr>
        <w:t>和补充评价要求的各项指标，对4所院校的8个专业进行了指标符合度等级的现场自测。参与实测的学校领导、教学管理人员、专业带头人和一线专任教师共40人。自测数据汇总见表7。</w:t>
      </w:r>
    </w:p>
    <w:p w14:paraId="5C813AA0">
      <w:pPr>
        <w:adjustRightInd w:val="0"/>
        <w:snapToGrid w:val="0"/>
        <w:ind w:firstLine="0" w:firstLineChars="0"/>
        <w:jc w:val="center"/>
        <w:rPr>
          <w:rFonts w:hint="eastAsia"/>
          <w:sz w:val="21"/>
          <w:szCs w:val="21"/>
        </w:rPr>
      </w:pPr>
      <w:r>
        <w:rPr>
          <w:rFonts w:hint="eastAsia"/>
          <w:sz w:val="21"/>
          <w:szCs w:val="21"/>
        </w:rPr>
        <w:t>表7  4所院校40人自测8个专科专业二级指标等级符合度汇总</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8"/>
        <w:gridCol w:w="1985"/>
        <w:gridCol w:w="1852"/>
        <w:gridCol w:w="1692"/>
      </w:tblGrid>
      <w:tr w14:paraId="2794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2698" w:type="dxa"/>
            <w:vAlign w:val="center"/>
          </w:tcPr>
          <w:p w14:paraId="64B2E776">
            <w:pPr>
              <w:adjustRightInd w:val="0"/>
              <w:snapToGrid w:val="0"/>
              <w:ind w:firstLine="0" w:firstLineChars="0"/>
              <w:jc w:val="center"/>
              <w:rPr>
                <w:rFonts w:hint="eastAsia"/>
                <w:b/>
                <w:bCs/>
              </w:rPr>
            </w:pPr>
            <w:r>
              <w:rPr>
                <w:rFonts w:hint="eastAsia"/>
                <w:b/>
                <w:bCs/>
              </w:rPr>
              <w:t>二级指标</w:t>
            </w:r>
          </w:p>
        </w:tc>
        <w:tc>
          <w:tcPr>
            <w:tcW w:w="1985" w:type="dxa"/>
            <w:vAlign w:val="center"/>
          </w:tcPr>
          <w:p w14:paraId="3E6683D1">
            <w:pPr>
              <w:adjustRightInd w:val="0"/>
              <w:snapToGrid w:val="0"/>
              <w:ind w:firstLine="0" w:firstLineChars="0"/>
              <w:jc w:val="center"/>
              <w:rPr>
                <w:rFonts w:hint="eastAsia"/>
                <w:b/>
                <w:bCs/>
              </w:rPr>
            </w:pPr>
            <w:r>
              <w:rPr>
                <w:b/>
                <w:bCs/>
              </w:rPr>
              <w:t>A</w:t>
            </w:r>
            <w:r>
              <w:rPr>
                <w:rFonts w:hint="eastAsia"/>
                <w:b/>
                <w:bCs/>
              </w:rPr>
              <w:t>等级</w:t>
            </w:r>
          </w:p>
          <w:p w14:paraId="7DDBBC9E">
            <w:pPr>
              <w:adjustRightInd w:val="0"/>
              <w:snapToGrid w:val="0"/>
              <w:ind w:firstLine="0" w:firstLineChars="0"/>
              <w:jc w:val="center"/>
              <w:rPr>
                <w:rFonts w:hint="eastAsia"/>
                <w:b/>
                <w:bCs/>
              </w:rPr>
            </w:pPr>
            <w:r>
              <w:rPr>
                <w:rFonts w:hint="eastAsia"/>
                <w:b/>
                <w:bCs/>
              </w:rPr>
              <w:t>（完全符合要求）</w:t>
            </w:r>
          </w:p>
        </w:tc>
        <w:tc>
          <w:tcPr>
            <w:tcW w:w="1852" w:type="dxa"/>
            <w:vAlign w:val="center"/>
          </w:tcPr>
          <w:p w14:paraId="71DFF57A">
            <w:pPr>
              <w:adjustRightInd w:val="0"/>
              <w:snapToGrid w:val="0"/>
              <w:ind w:firstLine="0" w:firstLineChars="0"/>
              <w:jc w:val="center"/>
              <w:rPr>
                <w:rFonts w:hint="eastAsia"/>
                <w:b/>
                <w:bCs/>
              </w:rPr>
            </w:pPr>
            <w:r>
              <w:rPr>
                <w:rFonts w:hint="eastAsia"/>
                <w:b/>
                <w:bCs/>
              </w:rPr>
              <w:t>B等级</w:t>
            </w:r>
          </w:p>
          <w:p w14:paraId="37D941BB">
            <w:pPr>
              <w:adjustRightInd w:val="0"/>
              <w:snapToGrid w:val="0"/>
              <w:ind w:firstLine="0" w:firstLineChars="0"/>
              <w:jc w:val="center"/>
              <w:rPr>
                <w:rFonts w:hint="eastAsia"/>
                <w:b/>
                <w:bCs/>
              </w:rPr>
            </w:pPr>
            <w:r>
              <w:rPr>
                <w:rFonts w:hint="eastAsia"/>
                <w:b/>
                <w:bCs/>
              </w:rPr>
              <w:t>（基本符合</w:t>
            </w:r>
            <w:r>
              <w:rPr>
                <w:b/>
                <w:bCs/>
              </w:rPr>
              <w:t>要求</w:t>
            </w:r>
            <w:r>
              <w:rPr>
                <w:rFonts w:hint="eastAsia"/>
                <w:b/>
                <w:bCs/>
              </w:rPr>
              <w:t>）</w:t>
            </w:r>
          </w:p>
        </w:tc>
        <w:tc>
          <w:tcPr>
            <w:tcW w:w="1692" w:type="dxa"/>
            <w:vAlign w:val="center"/>
          </w:tcPr>
          <w:p w14:paraId="24BB78E1">
            <w:pPr>
              <w:adjustRightInd w:val="0"/>
              <w:snapToGrid w:val="0"/>
              <w:ind w:firstLine="0" w:firstLineChars="0"/>
              <w:jc w:val="center"/>
              <w:rPr>
                <w:rFonts w:hint="eastAsia"/>
                <w:b/>
                <w:bCs/>
              </w:rPr>
            </w:pPr>
            <w:r>
              <w:rPr>
                <w:rFonts w:hint="eastAsia"/>
                <w:b/>
                <w:bCs/>
              </w:rPr>
              <w:t>C等级</w:t>
            </w:r>
          </w:p>
          <w:p w14:paraId="47191054">
            <w:pPr>
              <w:adjustRightInd w:val="0"/>
              <w:snapToGrid w:val="0"/>
              <w:ind w:firstLine="0" w:firstLineChars="0"/>
              <w:jc w:val="center"/>
              <w:rPr>
                <w:rFonts w:hint="eastAsia"/>
                <w:b/>
                <w:bCs/>
              </w:rPr>
            </w:pPr>
            <w:r>
              <w:rPr>
                <w:rFonts w:hint="eastAsia"/>
                <w:b/>
                <w:bCs/>
              </w:rPr>
              <w:t>（不符合要求）</w:t>
            </w:r>
          </w:p>
        </w:tc>
      </w:tr>
      <w:tr w14:paraId="00E9C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tcPr>
          <w:p w14:paraId="7B0310EC">
            <w:pPr>
              <w:adjustRightInd w:val="0"/>
              <w:snapToGrid w:val="0"/>
              <w:ind w:firstLine="0" w:firstLineChars="0"/>
              <w:jc w:val="left"/>
              <w:rPr>
                <w:rFonts w:hint="eastAsia"/>
              </w:rPr>
            </w:pPr>
            <w:r>
              <w:t>1.1 生源质量</w:t>
            </w:r>
          </w:p>
        </w:tc>
        <w:tc>
          <w:tcPr>
            <w:tcW w:w="1985" w:type="dxa"/>
            <w:vAlign w:val="center"/>
          </w:tcPr>
          <w:p w14:paraId="3FAD1729">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6E5E493F">
            <w:pPr>
              <w:widowControl/>
              <w:jc w:val="center"/>
              <w:textAlignment w:val="center"/>
              <w:rPr>
                <w:rFonts w:hint="eastAsia"/>
              </w:rPr>
            </w:pPr>
            <w:r>
              <w:rPr>
                <w:rFonts w:hint="eastAsia" w:ascii="宋体" w:hAnsi="宋体" w:eastAsia="宋体" w:cs="宋体"/>
                <w:color w:val="000000"/>
                <w:kern w:val="0"/>
                <w:lang w:bidi="ar"/>
              </w:rPr>
              <w:t>12.50%</w:t>
            </w:r>
          </w:p>
        </w:tc>
        <w:tc>
          <w:tcPr>
            <w:tcW w:w="1692" w:type="dxa"/>
            <w:vAlign w:val="center"/>
          </w:tcPr>
          <w:p w14:paraId="322CEF6C">
            <w:pPr>
              <w:widowControl/>
              <w:jc w:val="center"/>
              <w:textAlignment w:val="center"/>
              <w:rPr>
                <w:rFonts w:hint="eastAsia"/>
              </w:rPr>
            </w:pPr>
            <w:r>
              <w:rPr>
                <w:rFonts w:hint="eastAsia" w:ascii="宋体" w:hAnsi="宋体" w:eastAsia="宋体" w:cs="宋体"/>
                <w:color w:val="000000"/>
                <w:kern w:val="0"/>
                <w:lang w:bidi="ar"/>
              </w:rPr>
              <w:t>12.50%</w:t>
            </w:r>
          </w:p>
        </w:tc>
      </w:tr>
      <w:tr w14:paraId="2DEA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2484AF68">
            <w:pPr>
              <w:adjustRightInd w:val="0"/>
              <w:snapToGrid w:val="0"/>
              <w:ind w:firstLine="0" w:firstLineChars="0"/>
              <w:jc w:val="left"/>
              <w:rPr>
                <w:rFonts w:hint="eastAsia"/>
              </w:rPr>
            </w:pPr>
            <w:r>
              <w:t>1.2 成长指导</w:t>
            </w:r>
          </w:p>
        </w:tc>
        <w:tc>
          <w:tcPr>
            <w:tcW w:w="1985" w:type="dxa"/>
            <w:vAlign w:val="center"/>
          </w:tcPr>
          <w:p w14:paraId="1149F3CA">
            <w:pPr>
              <w:widowControl/>
              <w:jc w:val="center"/>
              <w:textAlignment w:val="center"/>
              <w:rPr>
                <w:rFonts w:hint="eastAsia"/>
              </w:rPr>
            </w:pPr>
            <w:r>
              <w:rPr>
                <w:rFonts w:hint="eastAsia" w:ascii="宋体" w:hAnsi="宋体" w:eastAsia="宋体" w:cs="宋体"/>
                <w:color w:val="000000"/>
                <w:kern w:val="0"/>
                <w:lang w:bidi="ar"/>
              </w:rPr>
              <w:t>62.50%</w:t>
            </w:r>
          </w:p>
        </w:tc>
        <w:tc>
          <w:tcPr>
            <w:tcW w:w="1852" w:type="dxa"/>
            <w:vAlign w:val="center"/>
          </w:tcPr>
          <w:p w14:paraId="5D1A448A">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vAlign w:val="center"/>
          </w:tcPr>
          <w:p w14:paraId="53C45483">
            <w:pPr>
              <w:widowControl/>
              <w:jc w:val="center"/>
              <w:textAlignment w:val="center"/>
              <w:rPr>
                <w:rFonts w:hint="eastAsia"/>
              </w:rPr>
            </w:pPr>
            <w:r>
              <w:rPr>
                <w:rFonts w:hint="eastAsia" w:ascii="宋体" w:hAnsi="宋体" w:eastAsia="宋体" w:cs="宋体"/>
                <w:color w:val="000000"/>
                <w:kern w:val="0"/>
                <w:lang w:bidi="ar"/>
              </w:rPr>
              <w:t>12.50%</w:t>
            </w:r>
          </w:p>
        </w:tc>
      </w:tr>
      <w:tr w14:paraId="7853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2A0B5F82">
            <w:pPr>
              <w:adjustRightInd w:val="0"/>
              <w:snapToGrid w:val="0"/>
              <w:ind w:firstLine="0" w:firstLineChars="0"/>
              <w:jc w:val="left"/>
              <w:rPr>
                <w:rFonts w:hint="eastAsia"/>
              </w:rPr>
            </w:pPr>
            <w:r>
              <w:t>1.3 学习成果</w:t>
            </w:r>
          </w:p>
        </w:tc>
        <w:tc>
          <w:tcPr>
            <w:tcW w:w="1985" w:type="dxa"/>
            <w:vAlign w:val="center"/>
          </w:tcPr>
          <w:p w14:paraId="115BBED1">
            <w:pPr>
              <w:widowControl/>
              <w:jc w:val="center"/>
              <w:textAlignment w:val="center"/>
              <w:rPr>
                <w:rFonts w:hint="eastAsia"/>
              </w:rPr>
            </w:pPr>
            <w:r>
              <w:rPr>
                <w:rFonts w:hint="eastAsia" w:ascii="宋体" w:hAnsi="宋体" w:eastAsia="宋体" w:cs="宋体"/>
                <w:color w:val="000000"/>
                <w:kern w:val="0"/>
                <w:lang w:bidi="ar"/>
              </w:rPr>
              <w:t>62.50%</w:t>
            </w:r>
          </w:p>
        </w:tc>
        <w:tc>
          <w:tcPr>
            <w:tcW w:w="1852" w:type="dxa"/>
            <w:vAlign w:val="center"/>
          </w:tcPr>
          <w:p w14:paraId="07B4216F">
            <w:pPr>
              <w:widowControl/>
              <w:jc w:val="center"/>
              <w:textAlignment w:val="center"/>
              <w:rPr>
                <w:rFonts w:hint="eastAsia"/>
              </w:rPr>
            </w:pPr>
            <w:r>
              <w:rPr>
                <w:rFonts w:hint="eastAsia" w:ascii="宋体" w:hAnsi="宋体" w:eastAsia="宋体" w:cs="宋体"/>
                <w:color w:val="000000"/>
                <w:kern w:val="0"/>
                <w:lang w:bidi="ar"/>
              </w:rPr>
              <w:t>37.50%</w:t>
            </w:r>
          </w:p>
        </w:tc>
        <w:tc>
          <w:tcPr>
            <w:tcW w:w="1692" w:type="dxa"/>
            <w:vAlign w:val="center"/>
          </w:tcPr>
          <w:p w14:paraId="24735A12">
            <w:pPr>
              <w:widowControl/>
              <w:jc w:val="center"/>
              <w:textAlignment w:val="center"/>
              <w:rPr>
                <w:rFonts w:hint="eastAsia"/>
              </w:rPr>
            </w:pPr>
            <w:r>
              <w:rPr>
                <w:rFonts w:hint="eastAsia" w:ascii="宋体" w:hAnsi="宋体" w:eastAsia="宋体" w:cs="宋体"/>
                <w:color w:val="000000"/>
                <w:kern w:val="0"/>
                <w:lang w:bidi="ar"/>
              </w:rPr>
              <w:t>0.00%</w:t>
            </w:r>
          </w:p>
        </w:tc>
      </w:tr>
      <w:tr w14:paraId="7853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2923083A">
            <w:pPr>
              <w:adjustRightInd w:val="0"/>
              <w:snapToGrid w:val="0"/>
              <w:ind w:firstLine="0" w:firstLineChars="0"/>
              <w:jc w:val="left"/>
              <w:rPr>
                <w:rFonts w:hint="eastAsia"/>
              </w:rPr>
            </w:pPr>
            <w:r>
              <w:t>2.1 目标定位</w:t>
            </w:r>
          </w:p>
        </w:tc>
        <w:tc>
          <w:tcPr>
            <w:tcW w:w="1985" w:type="dxa"/>
            <w:vAlign w:val="center"/>
          </w:tcPr>
          <w:p w14:paraId="3FFF656C">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43E2BD98">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vAlign w:val="center"/>
          </w:tcPr>
          <w:p w14:paraId="6C90567E">
            <w:pPr>
              <w:widowControl/>
              <w:jc w:val="center"/>
              <w:textAlignment w:val="center"/>
              <w:rPr>
                <w:rFonts w:hint="eastAsia"/>
              </w:rPr>
            </w:pPr>
            <w:r>
              <w:rPr>
                <w:rFonts w:hint="eastAsia" w:ascii="宋体" w:hAnsi="宋体" w:eastAsia="宋体" w:cs="宋体"/>
                <w:color w:val="000000"/>
                <w:kern w:val="0"/>
                <w:lang w:bidi="ar"/>
              </w:rPr>
              <w:t>0.00%</w:t>
            </w:r>
          </w:p>
        </w:tc>
      </w:tr>
      <w:tr w14:paraId="42A25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27A56F81">
            <w:pPr>
              <w:adjustRightInd w:val="0"/>
              <w:snapToGrid w:val="0"/>
              <w:ind w:firstLine="0" w:firstLineChars="0"/>
              <w:jc w:val="left"/>
              <w:rPr>
                <w:rFonts w:hint="eastAsia"/>
              </w:rPr>
            </w:pPr>
            <w:r>
              <w:t>2.2 目标修订</w:t>
            </w:r>
          </w:p>
        </w:tc>
        <w:tc>
          <w:tcPr>
            <w:tcW w:w="1985" w:type="dxa"/>
            <w:vAlign w:val="center"/>
          </w:tcPr>
          <w:p w14:paraId="10B367A1">
            <w:pPr>
              <w:widowControl/>
              <w:jc w:val="center"/>
              <w:textAlignment w:val="center"/>
              <w:rPr>
                <w:rFonts w:hint="eastAsia"/>
              </w:rPr>
            </w:pPr>
            <w:r>
              <w:rPr>
                <w:rFonts w:hint="eastAsia" w:ascii="宋体" w:hAnsi="宋体" w:eastAsia="宋体" w:cs="宋体"/>
                <w:color w:val="000000"/>
                <w:kern w:val="0"/>
                <w:lang w:bidi="ar"/>
              </w:rPr>
              <w:t>87.50%</w:t>
            </w:r>
          </w:p>
        </w:tc>
        <w:tc>
          <w:tcPr>
            <w:tcW w:w="1852" w:type="dxa"/>
            <w:vAlign w:val="center"/>
          </w:tcPr>
          <w:p w14:paraId="4D9B5511">
            <w:pPr>
              <w:widowControl/>
              <w:jc w:val="center"/>
              <w:textAlignment w:val="center"/>
              <w:rPr>
                <w:rFonts w:hint="eastAsia"/>
              </w:rPr>
            </w:pPr>
            <w:r>
              <w:rPr>
                <w:rFonts w:hint="eastAsia" w:ascii="宋体" w:hAnsi="宋体" w:eastAsia="宋体" w:cs="宋体"/>
                <w:color w:val="000000"/>
                <w:kern w:val="0"/>
                <w:lang w:bidi="ar"/>
              </w:rPr>
              <w:t>12.50%</w:t>
            </w:r>
          </w:p>
        </w:tc>
        <w:tc>
          <w:tcPr>
            <w:tcW w:w="1692" w:type="dxa"/>
          </w:tcPr>
          <w:p w14:paraId="5B1B5540">
            <w:pPr>
              <w:widowControl/>
              <w:jc w:val="center"/>
              <w:textAlignment w:val="top"/>
              <w:rPr>
                <w:rFonts w:hint="eastAsia"/>
              </w:rPr>
            </w:pPr>
            <w:r>
              <w:rPr>
                <w:rFonts w:hint="eastAsia" w:ascii="宋体" w:hAnsi="宋体" w:eastAsia="宋体" w:cs="宋体"/>
                <w:color w:val="000000"/>
                <w:kern w:val="0"/>
                <w:lang w:bidi="ar"/>
              </w:rPr>
              <w:t>0.00%</w:t>
            </w:r>
          </w:p>
        </w:tc>
      </w:tr>
      <w:tr w14:paraId="29AAD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69EBDA3D">
            <w:pPr>
              <w:adjustRightInd w:val="0"/>
              <w:snapToGrid w:val="0"/>
              <w:ind w:firstLine="0" w:firstLineChars="0"/>
              <w:jc w:val="left"/>
              <w:rPr>
                <w:rFonts w:hint="eastAsia"/>
              </w:rPr>
            </w:pPr>
            <w:r>
              <w:t>3.1 总体要求</w:t>
            </w:r>
          </w:p>
        </w:tc>
        <w:tc>
          <w:tcPr>
            <w:tcW w:w="1985" w:type="dxa"/>
            <w:vAlign w:val="center"/>
          </w:tcPr>
          <w:p w14:paraId="18204535">
            <w:pPr>
              <w:widowControl/>
              <w:jc w:val="center"/>
              <w:textAlignment w:val="center"/>
              <w:rPr>
                <w:rFonts w:hint="eastAsia"/>
              </w:rPr>
            </w:pPr>
            <w:r>
              <w:rPr>
                <w:rFonts w:hint="eastAsia" w:ascii="宋体" w:hAnsi="宋体" w:eastAsia="宋体" w:cs="宋体"/>
                <w:color w:val="000000"/>
                <w:kern w:val="0"/>
                <w:lang w:bidi="ar"/>
              </w:rPr>
              <w:t>87.50%</w:t>
            </w:r>
          </w:p>
        </w:tc>
        <w:tc>
          <w:tcPr>
            <w:tcW w:w="1852" w:type="dxa"/>
            <w:vAlign w:val="center"/>
          </w:tcPr>
          <w:p w14:paraId="290BBD13">
            <w:pPr>
              <w:widowControl/>
              <w:jc w:val="center"/>
              <w:textAlignment w:val="center"/>
              <w:rPr>
                <w:rFonts w:hint="eastAsia"/>
              </w:rPr>
            </w:pPr>
            <w:r>
              <w:rPr>
                <w:rFonts w:hint="eastAsia" w:ascii="宋体" w:hAnsi="宋体" w:eastAsia="宋体" w:cs="宋体"/>
                <w:color w:val="000000"/>
                <w:kern w:val="0"/>
                <w:lang w:bidi="ar"/>
              </w:rPr>
              <w:t>12.50%</w:t>
            </w:r>
          </w:p>
        </w:tc>
        <w:tc>
          <w:tcPr>
            <w:tcW w:w="1692" w:type="dxa"/>
          </w:tcPr>
          <w:p w14:paraId="42614BEF">
            <w:pPr>
              <w:widowControl/>
              <w:jc w:val="center"/>
              <w:textAlignment w:val="top"/>
              <w:rPr>
                <w:rFonts w:hint="eastAsia"/>
              </w:rPr>
            </w:pPr>
            <w:r>
              <w:rPr>
                <w:rFonts w:hint="eastAsia" w:ascii="宋体" w:hAnsi="宋体" w:eastAsia="宋体" w:cs="宋体"/>
                <w:color w:val="000000"/>
                <w:kern w:val="0"/>
                <w:lang w:bidi="ar"/>
              </w:rPr>
              <w:t>0.00%</w:t>
            </w:r>
          </w:p>
        </w:tc>
      </w:tr>
      <w:tr w14:paraId="617AF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19B99420">
            <w:pPr>
              <w:adjustRightInd w:val="0"/>
              <w:snapToGrid w:val="0"/>
              <w:ind w:firstLine="0" w:firstLineChars="0"/>
              <w:jc w:val="left"/>
              <w:rPr>
                <w:rFonts w:hint="eastAsia"/>
              </w:rPr>
            </w:pPr>
            <w:r>
              <w:t>3.2 知识领域</w:t>
            </w:r>
          </w:p>
        </w:tc>
        <w:tc>
          <w:tcPr>
            <w:tcW w:w="1985" w:type="dxa"/>
            <w:vAlign w:val="center"/>
          </w:tcPr>
          <w:p w14:paraId="7F745B86">
            <w:pPr>
              <w:widowControl/>
              <w:jc w:val="center"/>
              <w:textAlignment w:val="center"/>
              <w:rPr>
                <w:rFonts w:hint="eastAsia"/>
              </w:rPr>
            </w:pPr>
            <w:r>
              <w:rPr>
                <w:rFonts w:hint="eastAsia" w:ascii="宋体" w:hAnsi="宋体" w:eastAsia="宋体" w:cs="宋体"/>
                <w:color w:val="000000"/>
                <w:kern w:val="0"/>
                <w:lang w:bidi="ar"/>
              </w:rPr>
              <w:t>62.50%</w:t>
            </w:r>
          </w:p>
        </w:tc>
        <w:tc>
          <w:tcPr>
            <w:tcW w:w="1852" w:type="dxa"/>
            <w:vAlign w:val="center"/>
          </w:tcPr>
          <w:p w14:paraId="2DE823F5">
            <w:pPr>
              <w:widowControl/>
              <w:jc w:val="center"/>
              <w:textAlignment w:val="center"/>
              <w:rPr>
                <w:rFonts w:hint="eastAsia"/>
              </w:rPr>
            </w:pPr>
            <w:r>
              <w:rPr>
                <w:rFonts w:hint="eastAsia" w:ascii="宋体" w:hAnsi="宋体" w:eastAsia="宋体" w:cs="宋体"/>
                <w:color w:val="000000"/>
                <w:kern w:val="0"/>
                <w:lang w:bidi="ar"/>
              </w:rPr>
              <w:t>37.50%</w:t>
            </w:r>
          </w:p>
        </w:tc>
        <w:tc>
          <w:tcPr>
            <w:tcW w:w="1692" w:type="dxa"/>
          </w:tcPr>
          <w:p w14:paraId="3DB846A5">
            <w:pPr>
              <w:widowControl/>
              <w:jc w:val="center"/>
              <w:textAlignment w:val="top"/>
              <w:rPr>
                <w:rFonts w:hint="eastAsia"/>
              </w:rPr>
            </w:pPr>
            <w:r>
              <w:rPr>
                <w:rFonts w:hint="eastAsia" w:ascii="宋体" w:hAnsi="宋体" w:eastAsia="宋体" w:cs="宋体"/>
                <w:color w:val="000000"/>
                <w:kern w:val="0"/>
                <w:lang w:bidi="ar"/>
              </w:rPr>
              <w:t>0.00%</w:t>
            </w:r>
          </w:p>
        </w:tc>
      </w:tr>
      <w:tr w14:paraId="2F1D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4650CF38">
            <w:pPr>
              <w:adjustRightInd w:val="0"/>
              <w:snapToGrid w:val="0"/>
              <w:ind w:firstLine="0" w:firstLineChars="0"/>
              <w:jc w:val="left"/>
              <w:rPr>
                <w:rFonts w:hint="eastAsia"/>
              </w:rPr>
            </w:pPr>
            <w:r>
              <w:t>3.3 工具使用</w:t>
            </w:r>
          </w:p>
        </w:tc>
        <w:tc>
          <w:tcPr>
            <w:tcW w:w="1985" w:type="dxa"/>
            <w:vAlign w:val="center"/>
          </w:tcPr>
          <w:p w14:paraId="252A5F94">
            <w:pPr>
              <w:widowControl/>
              <w:jc w:val="center"/>
              <w:textAlignment w:val="center"/>
              <w:rPr>
                <w:rFonts w:hint="eastAsia"/>
              </w:rPr>
            </w:pPr>
            <w:r>
              <w:rPr>
                <w:rFonts w:hint="eastAsia" w:ascii="宋体" w:hAnsi="宋体" w:eastAsia="宋体" w:cs="宋体"/>
                <w:color w:val="000000"/>
                <w:kern w:val="0"/>
                <w:lang w:bidi="ar"/>
              </w:rPr>
              <w:t>87.50%</w:t>
            </w:r>
          </w:p>
        </w:tc>
        <w:tc>
          <w:tcPr>
            <w:tcW w:w="1852" w:type="dxa"/>
            <w:vAlign w:val="center"/>
          </w:tcPr>
          <w:p w14:paraId="65A16823">
            <w:pPr>
              <w:widowControl/>
              <w:jc w:val="center"/>
              <w:textAlignment w:val="center"/>
              <w:rPr>
                <w:rFonts w:hint="eastAsia"/>
              </w:rPr>
            </w:pPr>
            <w:r>
              <w:rPr>
                <w:rFonts w:hint="eastAsia" w:ascii="宋体" w:hAnsi="宋体" w:eastAsia="宋体" w:cs="宋体"/>
                <w:color w:val="000000"/>
                <w:kern w:val="0"/>
                <w:lang w:bidi="ar"/>
              </w:rPr>
              <w:t>12.50%</w:t>
            </w:r>
          </w:p>
        </w:tc>
        <w:tc>
          <w:tcPr>
            <w:tcW w:w="1692" w:type="dxa"/>
          </w:tcPr>
          <w:p w14:paraId="7C24E978">
            <w:pPr>
              <w:widowControl/>
              <w:jc w:val="center"/>
              <w:textAlignment w:val="top"/>
              <w:rPr>
                <w:rFonts w:hint="eastAsia"/>
              </w:rPr>
            </w:pPr>
            <w:r>
              <w:rPr>
                <w:rFonts w:hint="eastAsia" w:ascii="宋体" w:hAnsi="宋体" w:eastAsia="宋体" w:cs="宋体"/>
                <w:color w:val="000000"/>
                <w:kern w:val="0"/>
                <w:lang w:bidi="ar"/>
              </w:rPr>
              <w:t>0.00%</w:t>
            </w:r>
          </w:p>
        </w:tc>
      </w:tr>
      <w:tr w14:paraId="50EC8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1B3EEB6F">
            <w:pPr>
              <w:adjustRightInd w:val="0"/>
              <w:snapToGrid w:val="0"/>
              <w:ind w:firstLine="0" w:firstLineChars="0"/>
              <w:jc w:val="left"/>
              <w:rPr>
                <w:rFonts w:hint="eastAsia"/>
              </w:rPr>
            </w:pPr>
            <w:r>
              <w:t>3.4 技能掌握</w:t>
            </w:r>
          </w:p>
        </w:tc>
        <w:tc>
          <w:tcPr>
            <w:tcW w:w="1985" w:type="dxa"/>
            <w:vAlign w:val="center"/>
          </w:tcPr>
          <w:p w14:paraId="57DAB65F">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7C934B6D">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tcPr>
          <w:p w14:paraId="39C18A89">
            <w:pPr>
              <w:widowControl/>
              <w:jc w:val="center"/>
              <w:textAlignment w:val="top"/>
              <w:rPr>
                <w:rFonts w:hint="eastAsia"/>
              </w:rPr>
            </w:pPr>
            <w:r>
              <w:rPr>
                <w:rFonts w:hint="eastAsia" w:ascii="宋体" w:hAnsi="宋体" w:eastAsia="宋体" w:cs="宋体"/>
                <w:color w:val="000000"/>
                <w:kern w:val="0"/>
                <w:lang w:bidi="ar"/>
              </w:rPr>
              <w:t>0.00%</w:t>
            </w:r>
          </w:p>
        </w:tc>
      </w:tr>
      <w:tr w14:paraId="75D3D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1BF7CF8E">
            <w:pPr>
              <w:adjustRightInd w:val="0"/>
              <w:snapToGrid w:val="0"/>
              <w:ind w:firstLine="0" w:firstLineChars="0"/>
              <w:jc w:val="left"/>
              <w:rPr>
                <w:rFonts w:hint="eastAsia"/>
              </w:rPr>
            </w:pPr>
            <w:r>
              <w:t>3.5 问题解决</w:t>
            </w:r>
          </w:p>
        </w:tc>
        <w:tc>
          <w:tcPr>
            <w:tcW w:w="1985" w:type="dxa"/>
            <w:vAlign w:val="center"/>
          </w:tcPr>
          <w:p w14:paraId="0CE2339C">
            <w:pPr>
              <w:widowControl/>
              <w:jc w:val="center"/>
              <w:textAlignment w:val="center"/>
              <w:rPr>
                <w:rFonts w:hint="eastAsia"/>
              </w:rPr>
            </w:pPr>
            <w:r>
              <w:rPr>
                <w:rFonts w:hint="eastAsia" w:ascii="宋体" w:hAnsi="宋体" w:eastAsia="宋体" w:cs="宋体"/>
                <w:color w:val="000000"/>
                <w:kern w:val="0"/>
                <w:lang w:bidi="ar"/>
              </w:rPr>
              <w:t>62.50%</w:t>
            </w:r>
          </w:p>
        </w:tc>
        <w:tc>
          <w:tcPr>
            <w:tcW w:w="1852" w:type="dxa"/>
            <w:vAlign w:val="center"/>
          </w:tcPr>
          <w:p w14:paraId="5CE2A3EA">
            <w:pPr>
              <w:widowControl/>
              <w:jc w:val="center"/>
              <w:textAlignment w:val="center"/>
              <w:rPr>
                <w:rFonts w:hint="eastAsia"/>
              </w:rPr>
            </w:pPr>
            <w:r>
              <w:rPr>
                <w:rFonts w:hint="eastAsia" w:ascii="宋体" w:hAnsi="宋体" w:eastAsia="宋体" w:cs="宋体"/>
                <w:color w:val="000000"/>
                <w:kern w:val="0"/>
                <w:lang w:bidi="ar"/>
              </w:rPr>
              <w:t>37.50%</w:t>
            </w:r>
          </w:p>
        </w:tc>
        <w:tc>
          <w:tcPr>
            <w:tcW w:w="1692" w:type="dxa"/>
          </w:tcPr>
          <w:p w14:paraId="7DB72358">
            <w:pPr>
              <w:widowControl/>
              <w:jc w:val="center"/>
              <w:textAlignment w:val="top"/>
              <w:rPr>
                <w:rFonts w:hint="eastAsia"/>
              </w:rPr>
            </w:pPr>
            <w:r>
              <w:rPr>
                <w:rFonts w:hint="eastAsia" w:ascii="宋体" w:hAnsi="宋体" w:eastAsia="宋体" w:cs="宋体"/>
                <w:color w:val="000000"/>
                <w:kern w:val="0"/>
                <w:lang w:bidi="ar"/>
              </w:rPr>
              <w:t>0.00%</w:t>
            </w:r>
          </w:p>
        </w:tc>
      </w:tr>
      <w:tr w14:paraId="6E1F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5A029B37">
            <w:pPr>
              <w:adjustRightInd w:val="0"/>
              <w:snapToGrid w:val="0"/>
              <w:ind w:firstLine="0" w:firstLineChars="0"/>
              <w:jc w:val="left"/>
              <w:rPr>
                <w:rFonts w:hint="eastAsia"/>
              </w:rPr>
            </w:pPr>
            <w:r>
              <w:t>3.6 社会责任</w:t>
            </w:r>
          </w:p>
        </w:tc>
        <w:tc>
          <w:tcPr>
            <w:tcW w:w="1985" w:type="dxa"/>
            <w:vAlign w:val="center"/>
          </w:tcPr>
          <w:p w14:paraId="310970B6">
            <w:pPr>
              <w:widowControl/>
              <w:jc w:val="center"/>
              <w:textAlignment w:val="center"/>
              <w:rPr>
                <w:rFonts w:hint="eastAsia"/>
              </w:rPr>
            </w:pPr>
            <w:r>
              <w:rPr>
                <w:rFonts w:hint="eastAsia" w:ascii="宋体" w:hAnsi="宋体" w:eastAsia="宋体" w:cs="宋体"/>
                <w:color w:val="000000"/>
                <w:kern w:val="0"/>
                <w:lang w:bidi="ar"/>
              </w:rPr>
              <w:t>87.50%</w:t>
            </w:r>
          </w:p>
        </w:tc>
        <w:tc>
          <w:tcPr>
            <w:tcW w:w="1852" w:type="dxa"/>
            <w:vAlign w:val="center"/>
          </w:tcPr>
          <w:p w14:paraId="5235C6E4">
            <w:pPr>
              <w:widowControl/>
              <w:jc w:val="center"/>
              <w:textAlignment w:val="center"/>
              <w:rPr>
                <w:rFonts w:hint="eastAsia"/>
              </w:rPr>
            </w:pPr>
            <w:r>
              <w:rPr>
                <w:rFonts w:hint="eastAsia" w:ascii="宋体" w:hAnsi="宋体" w:eastAsia="宋体" w:cs="宋体"/>
                <w:color w:val="000000"/>
                <w:kern w:val="0"/>
                <w:lang w:bidi="ar"/>
              </w:rPr>
              <w:t>12.50%</w:t>
            </w:r>
          </w:p>
        </w:tc>
        <w:tc>
          <w:tcPr>
            <w:tcW w:w="1692" w:type="dxa"/>
          </w:tcPr>
          <w:p w14:paraId="741BEB52">
            <w:pPr>
              <w:widowControl/>
              <w:jc w:val="center"/>
              <w:textAlignment w:val="top"/>
              <w:rPr>
                <w:rFonts w:hint="eastAsia"/>
              </w:rPr>
            </w:pPr>
            <w:r>
              <w:rPr>
                <w:rFonts w:hint="eastAsia" w:ascii="宋体" w:hAnsi="宋体" w:eastAsia="宋体" w:cs="宋体"/>
                <w:color w:val="000000"/>
                <w:kern w:val="0"/>
                <w:lang w:bidi="ar"/>
              </w:rPr>
              <w:t>0.00%</w:t>
            </w:r>
          </w:p>
        </w:tc>
      </w:tr>
      <w:tr w14:paraId="73EA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4F8ECADA">
            <w:pPr>
              <w:adjustRightInd w:val="0"/>
              <w:snapToGrid w:val="0"/>
              <w:ind w:firstLine="0" w:firstLineChars="0"/>
              <w:jc w:val="left"/>
              <w:rPr>
                <w:rFonts w:hint="eastAsia"/>
              </w:rPr>
            </w:pPr>
            <w:r>
              <w:t>3.7 职业规范</w:t>
            </w:r>
          </w:p>
        </w:tc>
        <w:tc>
          <w:tcPr>
            <w:tcW w:w="1985" w:type="dxa"/>
            <w:vAlign w:val="center"/>
          </w:tcPr>
          <w:p w14:paraId="3408DD25">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5318A703">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tcPr>
          <w:p w14:paraId="73CBFE5F">
            <w:pPr>
              <w:widowControl/>
              <w:jc w:val="center"/>
              <w:textAlignment w:val="top"/>
              <w:rPr>
                <w:rFonts w:hint="eastAsia"/>
              </w:rPr>
            </w:pPr>
            <w:r>
              <w:rPr>
                <w:rFonts w:hint="eastAsia" w:ascii="宋体" w:hAnsi="宋体" w:eastAsia="宋体" w:cs="宋体"/>
                <w:color w:val="000000"/>
                <w:kern w:val="0"/>
                <w:lang w:bidi="ar"/>
              </w:rPr>
              <w:t>0.00%</w:t>
            </w:r>
          </w:p>
        </w:tc>
      </w:tr>
      <w:tr w14:paraId="0A8CF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033E7F58">
            <w:pPr>
              <w:adjustRightInd w:val="0"/>
              <w:snapToGrid w:val="0"/>
              <w:ind w:firstLine="0" w:firstLineChars="0"/>
              <w:jc w:val="left"/>
              <w:rPr>
                <w:rFonts w:hint="eastAsia"/>
              </w:rPr>
            </w:pPr>
            <w:r>
              <w:t>3.8 合作交流</w:t>
            </w:r>
          </w:p>
        </w:tc>
        <w:tc>
          <w:tcPr>
            <w:tcW w:w="1985" w:type="dxa"/>
            <w:vAlign w:val="center"/>
          </w:tcPr>
          <w:p w14:paraId="0FA7F4C4">
            <w:pPr>
              <w:widowControl/>
              <w:jc w:val="center"/>
              <w:textAlignment w:val="center"/>
              <w:rPr>
                <w:rFonts w:hint="eastAsia"/>
              </w:rPr>
            </w:pPr>
            <w:r>
              <w:rPr>
                <w:rFonts w:hint="eastAsia" w:ascii="宋体" w:hAnsi="宋体" w:eastAsia="宋体" w:cs="宋体"/>
                <w:color w:val="000000"/>
                <w:kern w:val="0"/>
                <w:lang w:bidi="ar"/>
              </w:rPr>
              <w:t>62.50%</w:t>
            </w:r>
          </w:p>
        </w:tc>
        <w:tc>
          <w:tcPr>
            <w:tcW w:w="1852" w:type="dxa"/>
            <w:vAlign w:val="center"/>
          </w:tcPr>
          <w:p w14:paraId="3965B39C">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vAlign w:val="center"/>
          </w:tcPr>
          <w:p w14:paraId="0DA83F31">
            <w:pPr>
              <w:widowControl/>
              <w:jc w:val="center"/>
              <w:textAlignment w:val="center"/>
              <w:rPr>
                <w:rFonts w:hint="eastAsia"/>
              </w:rPr>
            </w:pPr>
            <w:r>
              <w:rPr>
                <w:rFonts w:hint="eastAsia" w:ascii="宋体" w:hAnsi="宋体" w:eastAsia="宋体" w:cs="宋体"/>
                <w:color w:val="000000"/>
                <w:kern w:val="0"/>
                <w:lang w:bidi="ar"/>
              </w:rPr>
              <w:t>12.50%</w:t>
            </w:r>
          </w:p>
        </w:tc>
      </w:tr>
      <w:tr w14:paraId="3C079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5C83E11E">
            <w:pPr>
              <w:adjustRightInd w:val="0"/>
              <w:snapToGrid w:val="0"/>
              <w:ind w:firstLine="0" w:firstLineChars="0"/>
              <w:jc w:val="left"/>
              <w:rPr>
                <w:rFonts w:hint="eastAsia"/>
              </w:rPr>
            </w:pPr>
            <w:r>
              <w:t>3.9 终身学习</w:t>
            </w:r>
          </w:p>
        </w:tc>
        <w:tc>
          <w:tcPr>
            <w:tcW w:w="1985" w:type="dxa"/>
            <w:vAlign w:val="center"/>
          </w:tcPr>
          <w:p w14:paraId="4A6024DF">
            <w:pPr>
              <w:widowControl/>
              <w:jc w:val="center"/>
              <w:textAlignment w:val="center"/>
              <w:rPr>
                <w:rFonts w:hint="eastAsia"/>
              </w:rPr>
            </w:pPr>
            <w:r>
              <w:rPr>
                <w:rFonts w:hint="eastAsia" w:ascii="宋体" w:hAnsi="宋体" w:eastAsia="宋体" w:cs="宋体"/>
                <w:color w:val="000000"/>
                <w:kern w:val="0"/>
                <w:lang w:bidi="ar"/>
              </w:rPr>
              <w:t>62.50%</w:t>
            </w:r>
          </w:p>
        </w:tc>
        <w:tc>
          <w:tcPr>
            <w:tcW w:w="1852" w:type="dxa"/>
            <w:vAlign w:val="center"/>
          </w:tcPr>
          <w:p w14:paraId="65736B35">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vAlign w:val="center"/>
          </w:tcPr>
          <w:p w14:paraId="17E4B52F">
            <w:pPr>
              <w:widowControl/>
              <w:jc w:val="center"/>
              <w:textAlignment w:val="center"/>
              <w:rPr>
                <w:rFonts w:hint="eastAsia"/>
              </w:rPr>
            </w:pPr>
            <w:r>
              <w:rPr>
                <w:rFonts w:hint="eastAsia" w:ascii="宋体" w:hAnsi="宋体" w:eastAsia="宋体" w:cs="宋体"/>
                <w:color w:val="000000"/>
                <w:kern w:val="0"/>
                <w:lang w:bidi="ar"/>
              </w:rPr>
              <w:t>12.50%</w:t>
            </w:r>
          </w:p>
        </w:tc>
      </w:tr>
      <w:tr w14:paraId="71D2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0A8F098A">
            <w:pPr>
              <w:adjustRightInd w:val="0"/>
              <w:snapToGrid w:val="0"/>
              <w:ind w:firstLine="0" w:firstLineChars="0"/>
              <w:jc w:val="left"/>
              <w:rPr>
                <w:rFonts w:hint="eastAsia"/>
              </w:rPr>
            </w:pPr>
            <w:r>
              <w:t>4.1 课程设置</w:t>
            </w:r>
          </w:p>
        </w:tc>
        <w:tc>
          <w:tcPr>
            <w:tcW w:w="1985" w:type="dxa"/>
            <w:vAlign w:val="center"/>
          </w:tcPr>
          <w:p w14:paraId="2C6DAC14">
            <w:pPr>
              <w:widowControl/>
              <w:jc w:val="center"/>
              <w:textAlignment w:val="center"/>
              <w:rPr>
                <w:rFonts w:hint="eastAsia"/>
              </w:rPr>
            </w:pPr>
            <w:r>
              <w:rPr>
                <w:rFonts w:hint="eastAsia" w:ascii="宋体" w:hAnsi="宋体" w:eastAsia="宋体" w:cs="宋体"/>
                <w:color w:val="000000"/>
                <w:kern w:val="0"/>
                <w:lang w:bidi="ar"/>
              </w:rPr>
              <w:t>87.50%</w:t>
            </w:r>
          </w:p>
        </w:tc>
        <w:tc>
          <w:tcPr>
            <w:tcW w:w="1852" w:type="dxa"/>
            <w:vAlign w:val="center"/>
          </w:tcPr>
          <w:p w14:paraId="066F56E8">
            <w:pPr>
              <w:widowControl/>
              <w:jc w:val="center"/>
              <w:textAlignment w:val="center"/>
              <w:rPr>
                <w:rFonts w:hint="eastAsia"/>
              </w:rPr>
            </w:pPr>
            <w:r>
              <w:rPr>
                <w:rFonts w:hint="eastAsia" w:ascii="宋体" w:hAnsi="宋体" w:eastAsia="宋体" w:cs="宋体"/>
                <w:color w:val="000000"/>
                <w:kern w:val="0"/>
                <w:lang w:bidi="ar"/>
              </w:rPr>
              <w:t>12.50%</w:t>
            </w:r>
          </w:p>
        </w:tc>
        <w:tc>
          <w:tcPr>
            <w:tcW w:w="1692" w:type="dxa"/>
          </w:tcPr>
          <w:p w14:paraId="7865BB60">
            <w:pPr>
              <w:widowControl/>
              <w:jc w:val="center"/>
              <w:textAlignment w:val="top"/>
              <w:rPr>
                <w:rFonts w:hint="eastAsia"/>
              </w:rPr>
            </w:pPr>
            <w:r>
              <w:rPr>
                <w:rFonts w:hint="eastAsia" w:ascii="宋体" w:hAnsi="宋体" w:eastAsia="宋体" w:cs="宋体"/>
                <w:color w:val="000000"/>
                <w:kern w:val="0"/>
                <w:lang w:bidi="ar"/>
              </w:rPr>
              <w:t>0.00%</w:t>
            </w:r>
          </w:p>
        </w:tc>
      </w:tr>
      <w:tr w14:paraId="303AD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293F8212">
            <w:pPr>
              <w:adjustRightInd w:val="0"/>
              <w:snapToGrid w:val="0"/>
              <w:ind w:firstLine="0" w:firstLineChars="0"/>
              <w:jc w:val="left"/>
              <w:rPr>
                <w:rFonts w:hint="eastAsia"/>
              </w:rPr>
            </w:pPr>
            <w:r>
              <w:t>4.2 公共基础课</w:t>
            </w:r>
          </w:p>
        </w:tc>
        <w:tc>
          <w:tcPr>
            <w:tcW w:w="1985" w:type="dxa"/>
            <w:vAlign w:val="center"/>
          </w:tcPr>
          <w:p w14:paraId="046DB78C">
            <w:pPr>
              <w:widowControl/>
              <w:jc w:val="center"/>
              <w:textAlignment w:val="center"/>
              <w:rPr>
                <w:rFonts w:hint="eastAsia"/>
              </w:rPr>
            </w:pPr>
            <w:r>
              <w:rPr>
                <w:rFonts w:hint="eastAsia" w:ascii="宋体" w:hAnsi="宋体" w:eastAsia="宋体" w:cs="宋体"/>
                <w:color w:val="000000"/>
                <w:kern w:val="0"/>
                <w:lang w:bidi="ar"/>
              </w:rPr>
              <w:t>87.50%</w:t>
            </w:r>
          </w:p>
        </w:tc>
        <w:tc>
          <w:tcPr>
            <w:tcW w:w="1852" w:type="dxa"/>
            <w:vAlign w:val="center"/>
          </w:tcPr>
          <w:p w14:paraId="00272285">
            <w:pPr>
              <w:widowControl/>
              <w:jc w:val="center"/>
              <w:textAlignment w:val="center"/>
              <w:rPr>
                <w:rFonts w:hint="eastAsia"/>
              </w:rPr>
            </w:pPr>
            <w:r>
              <w:rPr>
                <w:rFonts w:hint="eastAsia" w:ascii="宋体" w:hAnsi="宋体" w:eastAsia="宋体" w:cs="宋体"/>
                <w:color w:val="000000"/>
                <w:kern w:val="0"/>
                <w:lang w:bidi="ar"/>
              </w:rPr>
              <w:t>12.50%</w:t>
            </w:r>
          </w:p>
        </w:tc>
        <w:tc>
          <w:tcPr>
            <w:tcW w:w="1692" w:type="dxa"/>
          </w:tcPr>
          <w:p w14:paraId="786405AE">
            <w:pPr>
              <w:widowControl/>
              <w:jc w:val="center"/>
              <w:textAlignment w:val="top"/>
              <w:rPr>
                <w:rFonts w:hint="eastAsia"/>
              </w:rPr>
            </w:pPr>
            <w:r>
              <w:rPr>
                <w:rFonts w:hint="eastAsia" w:ascii="宋体" w:hAnsi="宋体" w:eastAsia="宋体" w:cs="宋体"/>
                <w:color w:val="000000"/>
                <w:kern w:val="0"/>
                <w:lang w:bidi="ar"/>
              </w:rPr>
              <w:t>0.00%</w:t>
            </w:r>
          </w:p>
        </w:tc>
      </w:tr>
      <w:tr w14:paraId="2DF72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5CFDC636">
            <w:pPr>
              <w:adjustRightInd w:val="0"/>
              <w:snapToGrid w:val="0"/>
              <w:ind w:firstLine="0" w:firstLineChars="0"/>
              <w:jc w:val="left"/>
              <w:rPr>
                <w:rFonts w:hint="eastAsia"/>
              </w:rPr>
            </w:pPr>
            <w:r>
              <w:t>4.3 专业课程</w:t>
            </w:r>
          </w:p>
        </w:tc>
        <w:tc>
          <w:tcPr>
            <w:tcW w:w="1985" w:type="dxa"/>
            <w:vAlign w:val="center"/>
          </w:tcPr>
          <w:p w14:paraId="0EAA0081">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2AE20425">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tcPr>
          <w:p w14:paraId="3BC5CA85">
            <w:pPr>
              <w:widowControl/>
              <w:jc w:val="center"/>
              <w:textAlignment w:val="top"/>
              <w:rPr>
                <w:rFonts w:hint="eastAsia"/>
              </w:rPr>
            </w:pPr>
            <w:r>
              <w:rPr>
                <w:rFonts w:hint="eastAsia" w:ascii="宋体" w:hAnsi="宋体" w:eastAsia="宋体" w:cs="宋体"/>
                <w:color w:val="000000"/>
                <w:kern w:val="0"/>
                <w:lang w:bidi="ar"/>
              </w:rPr>
              <w:t>0.00%</w:t>
            </w:r>
          </w:p>
        </w:tc>
      </w:tr>
      <w:tr w14:paraId="3C692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7E1ED1F1">
            <w:pPr>
              <w:adjustRightInd w:val="0"/>
              <w:snapToGrid w:val="0"/>
              <w:ind w:firstLine="0" w:firstLineChars="0"/>
              <w:jc w:val="left"/>
              <w:rPr>
                <w:rFonts w:hint="eastAsia"/>
              </w:rPr>
            </w:pPr>
            <w:r>
              <w:t>4.4 实践类课程</w:t>
            </w:r>
          </w:p>
        </w:tc>
        <w:tc>
          <w:tcPr>
            <w:tcW w:w="1985" w:type="dxa"/>
          </w:tcPr>
          <w:p w14:paraId="7F69020F">
            <w:pPr>
              <w:widowControl/>
              <w:jc w:val="center"/>
              <w:textAlignment w:val="top"/>
              <w:rPr>
                <w:rFonts w:hint="eastAsia"/>
              </w:rPr>
            </w:pPr>
            <w:r>
              <w:rPr>
                <w:rFonts w:hint="eastAsia" w:ascii="宋体" w:hAnsi="宋体" w:eastAsia="宋体" w:cs="宋体"/>
                <w:color w:val="000000"/>
                <w:kern w:val="0"/>
                <w:lang w:bidi="ar"/>
              </w:rPr>
              <w:t>75.00%</w:t>
            </w:r>
          </w:p>
        </w:tc>
        <w:tc>
          <w:tcPr>
            <w:tcW w:w="1852" w:type="dxa"/>
          </w:tcPr>
          <w:p w14:paraId="7A80EEDC">
            <w:pPr>
              <w:widowControl/>
              <w:jc w:val="center"/>
              <w:textAlignment w:val="top"/>
              <w:rPr>
                <w:rFonts w:hint="eastAsia"/>
              </w:rPr>
            </w:pPr>
            <w:r>
              <w:rPr>
                <w:rFonts w:hint="eastAsia" w:ascii="宋体" w:hAnsi="宋体" w:eastAsia="宋体" w:cs="宋体"/>
                <w:color w:val="000000"/>
                <w:kern w:val="0"/>
                <w:lang w:bidi="ar"/>
              </w:rPr>
              <w:t>25.00%</w:t>
            </w:r>
          </w:p>
        </w:tc>
        <w:tc>
          <w:tcPr>
            <w:tcW w:w="1692" w:type="dxa"/>
          </w:tcPr>
          <w:p w14:paraId="3F58600A">
            <w:pPr>
              <w:widowControl/>
              <w:jc w:val="center"/>
              <w:textAlignment w:val="top"/>
              <w:rPr>
                <w:rFonts w:hint="eastAsia"/>
              </w:rPr>
            </w:pPr>
            <w:r>
              <w:rPr>
                <w:rFonts w:hint="eastAsia" w:ascii="宋体" w:hAnsi="宋体" w:eastAsia="宋体" w:cs="宋体"/>
                <w:color w:val="000000"/>
                <w:kern w:val="0"/>
                <w:lang w:bidi="ar"/>
              </w:rPr>
              <w:t>0.00%</w:t>
            </w:r>
          </w:p>
        </w:tc>
      </w:tr>
      <w:tr w14:paraId="50B8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698" w:type="dxa"/>
            <w:vAlign w:val="center"/>
          </w:tcPr>
          <w:p w14:paraId="29BDC06D">
            <w:pPr>
              <w:adjustRightInd w:val="0"/>
              <w:snapToGrid w:val="0"/>
              <w:ind w:firstLine="0" w:firstLineChars="0"/>
              <w:jc w:val="left"/>
              <w:rPr>
                <w:rFonts w:hint="eastAsia"/>
              </w:rPr>
            </w:pPr>
            <w:r>
              <w:t>4.5 专业基础知识领域</w:t>
            </w:r>
          </w:p>
        </w:tc>
        <w:tc>
          <w:tcPr>
            <w:tcW w:w="1985" w:type="dxa"/>
          </w:tcPr>
          <w:p w14:paraId="6F8BE5FE">
            <w:pPr>
              <w:widowControl/>
              <w:jc w:val="center"/>
              <w:textAlignment w:val="top"/>
              <w:rPr>
                <w:rFonts w:hint="eastAsia"/>
              </w:rPr>
            </w:pPr>
            <w:r>
              <w:rPr>
                <w:rFonts w:hint="eastAsia" w:ascii="宋体" w:hAnsi="宋体" w:eastAsia="宋体" w:cs="宋体"/>
                <w:color w:val="000000"/>
                <w:kern w:val="0"/>
                <w:lang w:bidi="ar"/>
              </w:rPr>
              <w:t>75.00%</w:t>
            </w:r>
          </w:p>
        </w:tc>
        <w:tc>
          <w:tcPr>
            <w:tcW w:w="1852" w:type="dxa"/>
          </w:tcPr>
          <w:p w14:paraId="65033DA7">
            <w:pPr>
              <w:widowControl/>
              <w:jc w:val="center"/>
              <w:textAlignment w:val="top"/>
              <w:rPr>
                <w:rFonts w:hint="eastAsia"/>
              </w:rPr>
            </w:pPr>
            <w:r>
              <w:rPr>
                <w:rFonts w:hint="eastAsia" w:ascii="宋体" w:hAnsi="宋体" w:eastAsia="宋体" w:cs="宋体"/>
                <w:color w:val="000000"/>
                <w:kern w:val="0"/>
                <w:lang w:bidi="ar"/>
              </w:rPr>
              <w:t>25.00%</w:t>
            </w:r>
          </w:p>
        </w:tc>
        <w:tc>
          <w:tcPr>
            <w:tcW w:w="1692" w:type="dxa"/>
          </w:tcPr>
          <w:p w14:paraId="48611D96">
            <w:pPr>
              <w:widowControl/>
              <w:jc w:val="center"/>
              <w:textAlignment w:val="top"/>
              <w:rPr>
                <w:rFonts w:hint="eastAsia"/>
              </w:rPr>
            </w:pPr>
            <w:r>
              <w:rPr>
                <w:rFonts w:hint="eastAsia" w:ascii="宋体" w:hAnsi="宋体" w:eastAsia="宋体" w:cs="宋体"/>
                <w:color w:val="000000"/>
                <w:kern w:val="0"/>
                <w:lang w:bidi="ar"/>
              </w:rPr>
              <w:t>0.00%</w:t>
            </w:r>
          </w:p>
        </w:tc>
      </w:tr>
      <w:tr w14:paraId="774C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61BED8A4">
            <w:pPr>
              <w:adjustRightInd w:val="0"/>
              <w:snapToGrid w:val="0"/>
              <w:ind w:firstLine="0" w:firstLineChars="0"/>
              <w:jc w:val="left"/>
              <w:rPr>
                <w:rFonts w:hint="eastAsia"/>
              </w:rPr>
            </w:pPr>
            <w:r>
              <w:t>4.6 基础技能训练</w:t>
            </w:r>
          </w:p>
        </w:tc>
        <w:tc>
          <w:tcPr>
            <w:tcW w:w="1985" w:type="dxa"/>
          </w:tcPr>
          <w:p w14:paraId="7189F17A">
            <w:pPr>
              <w:widowControl/>
              <w:jc w:val="center"/>
              <w:textAlignment w:val="top"/>
              <w:rPr>
                <w:rFonts w:hint="eastAsia"/>
              </w:rPr>
            </w:pPr>
            <w:r>
              <w:rPr>
                <w:rFonts w:hint="eastAsia" w:ascii="宋体" w:hAnsi="宋体" w:eastAsia="宋体" w:cs="宋体"/>
                <w:color w:val="000000"/>
                <w:kern w:val="0"/>
                <w:lang w:bidi="ar"/>
              </w:rPr>
              <w:t>75.00%</w:t>
            </w:r>
          </w:p>
        </w:tc>
        <w:tc>
          <w:tcPr>
            <w:tcW w:w="1852" w:type="dxa"/>
          </w:tcPr>
          <w:p w14:paraId="5401D6B8">
            <w:pPr>
              <w:widowControl/>
              <w:jc w:val="center"/>
              <w:textAlignment w:val="top"/>
              <w:rPr>
                <w:rFonts w:hint="eastAsia"/>
              </w:rPr>
            </w:pPr>
            <w:r>
              <w:rPr>
                <w:rFonts w:hint="eastAsia" w:ascii="宋体" w:hAnsi="宋体" w:eastAsia="宋体" w:cs="宋体"/>
                <w:color w:val="000000"/>
                <w:kern w:val="0"/>
                <w:lang w:bidi="ar"/>
              </w:rPr>
              <w:t>25.00%</w:t>
            </w:r>
          </w:p>
        </w:tc>
        <w:tc>
          <w:tcPr>
            <w:tcW w:w="1692" w:type="dxa"/>
          </w:tcPr>
          <w:p w14:paraId="6597455B">
            <w:pPr>
              <w:widowControl/>
              <w:jc w:val="center"/>
              <w:textAlignment w:val="top"/>
              <w:rPr>
                <w:rFonts w:hint="eastAsia"/>
              </w:rPr>
            </w:pPr>
            <w:r>
              <w:rPr>
                <w:rFonts w:hint="eastAsia" w:ascii="宋体" w:hAnsi="宋体" w:eastAsia="宋体" w:cs="宋体"/>
                <w:color w:val="000000"/>
                <w:kern w:val="0"/>
                <w:lang w:bidi="ar"/>
              </w:rPr>
              <w:t>0.00%</w:t>
            </w:r>
          </w:p>
        </w:tc>
      </w:tr>
      <w:tr w14:paraId="3756E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5184845A">
            <w:pPr>
              <w:adjustRightInd w:val="0"/>
              <w:snapToGrid w:val="0"/>
              <w:ind w:firstLine="0" w:firstLineChars="0"/>
              <w:jc w:val="left"/>
              <w:rPr>
                <w:rFonts w:hint="eastAsia"/>
              </w:rPr>
            </w:pPr>
            <w:r>
              <w:t>5.1 教学管理制度</w:t>
            </w:r>
          </w:p>
        </w:tc>
        <w:tc>
          <w:tcPr>
            <w:tcW w:w="1985" w:type="dxa"/>
          </w:tcPr>
          <w:p w14:paraId="63D65147">
            <w:pPr>
              <w:widowControl/>
              <w:jc w:val="center"/>
              <w:textAlignment w:val="top"/>
              <w:rPr>
                <w:rFonts w:hint="eastAsia"/>
              </w:rPr>
            </w:pPr>
            <w:r>
              <w:rPr>
                <w:rFonts w:hint="eastAsia" w:ascii="宋体" w:hAnsi="宋体" w:eastAsia="宋体" w:cs="宋体"/>
                <w:color w:val="000000"/>
                <w:kern w:val="0"/>
                <w:lang w:bidi="ar"/>
              </w:rPr>
              <w:t>75.00%</w:t>
            </w:r>
          </w:p>
        </w:tc>
        <w:tc>
          <w:tcPr>
            <w:tcW w:w="1852" w:type="dxa"/>
          </w:tcPr>
          <w:p w14:paraId="2FF8EFCE">
            <w:pPr>
              <w:widowControl/>
              <w:jc w:val="center"/>
              <w:textAlignment w:val="top"/>
              <w:rPr>
                <w:rFonts w:hint="eastAsia"/>
              </w:rPr>
            </w:pPr>
            <w:r>
              <w:rPr>
                <w:rFonts w:hint="eastAsia" w:ascii="宋体" w:hAnsi="宋体" w:eastAsia="宋体" w:cs="宋体"/>
                <w:color w:val="000000"/>
                <w:kern w:val="0"/>
                <w:lang w:bidi="ar"/>
              </w:rPr>
              <w:t>25.00%</w:t>
            </w:r>
          </w:p>
        </w:tc>
        <w:tc>
          <w:tcPr>
            <w:tcW w:w="1692" w:type="dxa"/>
          </w:tcPr>
          <w:p w14:paraId="7C147199">
            <w:pPr>
              <w:widowControl/>
              <w:jc w:val="center"/>
              <w:textAlignment w:val="top"/>
              <w:rPr>
                <w:rFonts w:hint="eastAsia"/>
              </w:rPr>
            </w:pPr>
            <w:r>
              <w:rPr>
                <w:rFonts w:hint="eastAsia" w:ascii="宋体" w:hAnsi="宋体" w:eastAsia="宋体" w:cs="宋体"/>
                <w:color w:val="000000"/>
                <w:kern w:val="0"/>
                <w:lang w:bidi="ar"/>
              </w:rPr>
              <w:t>0.00%</w:t>
            </w:r>
          </w:p>
        </w:tc>
      </w:tr>
      <w:tr w14:paraId="253EB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1C6FFEE8">
            <w:pPr>
              <w:adjustRightInd w:val="0"/>
              <w:snapToGrid w:val="0"/>
              <w:ind w:firstLine="0" w:firstLineChars="0"/>
              <w:jc w:val="left"/>
              <w:rPr>
                <w:rFonts w:hint="eastAsia"/>
              </w:rPr>
            </w:pPr>
            <w:r>
              <w:t>5.2 课程教学目标与内容</w:t>
            </w:r>
          </w:p>
        </w:tc>
        <w:tc>
          <w:tcPr>
            <w:tcW w:w="1985" w:type="dxa"/>
            <w:vAlign w:val="center"/>
          </w:tcPr>
          <w:p w14:paraId="0F92D729">
            <w:pPr>
              <w:widowControl/>
              <w:jc w:val="center"/>
              <w:textAlignment w:val="center"/>
              <w:rPr>
                <w:rFonts w:hint="eastAsia"/>
              </w:rPr>
            </w:pPr>
            <w:r>
              <w:rPr>
                <w:rFonts w:hint="eastAsia" w:ascii="宋体" w:hAnsi="宋体" w:eastAsia="宋体" w:cs="宋体"/>
                <w:color w:val="000000"/>
                <w:kern w:val="0"/>
                <w:lang w:bidi="ar"/>
              </w:rPr>
              <w:t>87.50%</w:t>
            </w:r>
          </w:p>
        </w:tc>
        <w:tc>
          <w:tcPr>
            <w:tcW w:w="1852" w:type="dxa"/>
            <w:vAlign w:val="center"/>
          </w:tcPr>
          <w:p w14:paraId="0F55014F">
            <w:pPr>
              <w:widowControl/>
              <w:jc w:val="center"/>
              <w:textAlignment w:val="center"/>
              <w:rPr>
                <w:rFonts w:hint="eastAsia"/>
              </w:rPr>
            </w:pPr>
            <w:r>
              <w:rPr>
                <w:rFonts w:hint="eastAsia" w:ascii="宋体" w:hAnsi="宋体" w:eastAsia="宋体" w:cs="宋体"/>
                <w:color w:val="000000"/>
                <w:kern w:val="0"/>
                <w:lang w:bidi="ar"/>
              </w:rPr>
              <w:t>12.50%</w:t>
            </w:r>
          </w:p>
        </w:tc>
        <w:tc>
          <w:tcPr>
            <w:tcW w:w="1692" w:type="dxa"/>
          </w:tcPr>
          <w:p w14:paraId="4B1FFD21">
            <w:pPr>
              <w:widowControl/>
              <w:jc w:val="center"/>
              <w:textAlignment w:val="top"/>
              <w:rPr>
                <w:rFonts w:hint="eastAsia"/>
              </w:rPr>
            </w:pPr>
            <w:r>
              <w:rPr>
                <w:rFonts w:hint="eastAsia" w:ascii="宋体" w:hAnsi="宋体" w:eastAsia="宋体" w:cs="宋体"/>
                <w:color w:val="000000"/>
                <w:kern w:val="0"/>
                <w:lang w:bidi="ar"/>
              </w:rPr>
              <w:t>0.00%</w:t>
            </w:r>
          </w:p>
        </w:tc>
      </w:tr>
      <w:tr w14:paraId="312C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71B77A2B">
            <w:pPr>
              <w:adjustRightInd w:val="0"/>
              <w:snapToGrid w:val="0"/>
              <w:ind w:firstLine="0" w:firstLineChars="0"/>
              <w:jc w:val="left"/>
              <w:rPr>
                <w:rFonts w:hint="eastAsia"/>
              </w:rPr>
            </w:pPr>
            <w:r>
              <w:t>5.3 课堂教学</w:t>
            </w:r>
          </w:p>
        </w:tc>
        <w:tc>
          <w:tcPr>
            <w:tcW w:w="1985" w:type="dxa"/>
            <w:vAlign w:val="center"/>
          </w:tcPr>
          <w:p w14:paraId="26D6B2E4">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1599A4A1">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tcPr>
          <w:p w14:paraId="424D791F">
            <w:pPr>
              <w:widowControl/>
              <w:jc w:val="center"/>
              <w:textAlignment w:val="top"/>
              <w:rPr>
                <w:rFonts w:hint="eastAsia"/>
              </w:rPr>
            </w:pPr>
            <w:r>
              <w:rPr>
                <w:rFonts w:hint="eastAsia" w:ascii="宋体" w:hAnsi="宋体" w:eastAsia="宋体" w:cs="宋体"/>
                <w:color w:val="000000"/>
                <w:kern w:val="0"/>
                <w:lang w:bidi="ar"/>
              </w:rPr>
              <w:t>0.00%</w:t>
            </w:r>
          </w:p>
        </w:tc>
      </w:tr>
      <w:tr w14:paraId="7ABDC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13A241C6">
            <w:pPr>
              <w:adjustRightInd w:val="0"/>
              <w:snapToGrid w:val="0"/>
              <w:ind w:firstLine="0" w:firstLineChars="0"/>
              <w:jc w:val="left"/>
              <w:rPr>
                <w:rFonts w:hint="eastAsia"/>
              </w:rPr>
            </w:pPr>
            <w:r>
              <w:t>5.4 课程考核</w:t>
            </w:r>
          </w:p>
        </w:tc>
        <w:tc>
          <w:tcPr>
            <w:tcW w:w="1985" w:type="dxa"/>
            <w:vAlign w:val="center"/>
          </w:tcPr>
          <w:p w14:paraId="52C1F9DB">
            <w:pPr>
              <w:widowControl/>
              <w:jc w:val="center"/>
              <w:textAlignment w:val="center"/>
              <w:rPr>
                <w:rFonts w:hint="eastAsia"/>
              </w:rPr>
            </w:pPr>
            <w:r>
              <w:rPr>
                <w:rFonts w:hint="eastAsia" w:ascii="宋体" w:hAnsi="宋体" w:eastAsia="宋体" w:cs="宋体"/>
                <w:color w:val="000000"/>
                <w:kern w:val="0"/>
                <w:lang w:bidi="ar"/>
              </w:rPr>
              <w:t>87.50%</w:t>
            </w:r>
          </w:p>
        </w:tc>
        <w:tc>
          <w:tcPr>
            <w:tcW w:w="1852" w:type="dxa"/>
            <w:vAlign w:val="center"/>
          </w:tcPr>
          <w:p w14:paraId="769B37D9">
            <w:pPr>
              <w:widowControl/>
              <w:jc w:val="center"/>
              <w:textAlignment w:val="center"/>
              <w:rPr>
                <w:rFonts w:hint="eastAsia"/>
              </w:rPr>
            </w:pPr>
            <w:r>
              <w:rPr>
                <w:rFonts w:hint="eastAsia" w:ascii="宋体" w:hAnsi="宋体" w:eastAsia="宋体" w:cs="宋体"/>
                <w:color w:val="000000"/>
                <w:kern w:val="0"/>
                <w:lang w:bidi="ar"/>
              </w:rPr>
              <w:t>12.50%</w:t>
            </w:r>
          </w:p>
        </w:tc>
        <w:tc>
          <w:tcPr>
            <w:tcW w:w="1692" w:type="dxa"/>
          </w:tcPr>
          <w:p w14:paraId="3BBA7240">
            <w:pPr>
              <w:widowControl/>
              <w:jc w:val="center"/>
              <w:textAlignment w:val="top"/>
              <w:rPr>
                <w:rFonts w:hint="eastAsia"/>
              </w:rPr>
            </w:pPr>
            <w:r>
              <w:rPr>
                <w:rFonts w:hint="eastAsia" w:ascii="宋体" w:hAnsi="宋体" w:eastAsia="宋体" w:cs="宋体"/>
                <w:color w:val="000000"/>
                <w:kern w:val="0"/>
                <w:lang w:bidi="ar"/>
              </w:rPr>
              <w:t>0.00%</w:t>
            </w:r>
          </w:p>
        </w:tc>
      </w:tr>
      <w:tr w14:paraId="11D2A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5CE77CED">
            <w:pPr>
              <w:adjustRightInd w:val="0"/>
              <w:snapToGrid w:val="0"/>
              <w:ind w:firstLine="0" w:firstLineChars="0"/>
              <w:jc w:val="left"/>
              <w:rPr>
                <w:rFonts w:hint="eastAsia"/>
              </w:rPr>
            </w:pPr>
            <w:r>
              <w:t>6.1教学质量监控评价机制</w:t>
            </w:r>
          </w:p>
        </w:tc>
        <w:tc>
          <w:tcPr>
            <w:tcW w:w="1985" w:type="dxa"/>
            <w:vAlign w:val="center"/>
          </w:tcPr>
          <w:p w14:paraId="37B08882">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0A71B919">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tcPr>
          <w:p w14:paraId="47D6ADB4">
            <w:pPr>
              <w:widowControl/>
              <w:jc w:val="center"/>
              <w:textAlignment w:val="top"/>
              <w:rPr>
                <w:rFonts w:hint="eastAsia"/>
              </w:rPr>
            </w:pPr>
            <w:r>
              <w:rPr>
                <w:rFonts w:hint="eastAsia" w:ascii="宋体" w:hAnsi="宋体" w:eastAsia="宋体" w:cs="宋体"/>
                <w:color w:val="000000"/>
                <w:kern w:val="0"/>
                <w:lang w:bidi="ar"/>
              </w:rPr>
              <w:t>0.00%</w:t>
            </w:r>
          </w:p>
        </w:tc>
      </w:tr>
      <w:tr w14:paraId="05DE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58519A2F">
            <w:pPr>
              <w:adjustRightInd w:val="0"/>
              <w:snapToGrid w:val="0"/>
              <w:ind w:firstLine="0" w:firstLineChars="0"/>
              <w:jc w:val="left"/>
              <w:rPr>
                <w:rFonts w:hint="eastAsia"/>
              </w:rPr>
            </w:pPr>
            <w:r>
              <w:t>6.2毕业生随访与社会评价机制</w:t>
            </w:r>
          </w:p>
        </w:tc>
        <w:tc>
          <w:tcPr>
            <w:tcW w:w="1985" w:type="dxa"/>
            <w:vAlign w:val="center"/>
          </w:tcPr>
          <w:p w14:paraId="4D94EA05">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64E29FB3">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tcPr>
          <w:p w14:paraId="651586B8">
            <w:pPr>
              <w:widowControl/>
              <w:jc w:val="center"/>
              <w:textAlignment w:val="top"/>
              <w:rPr>
                <w:rFonts w:hint="eastAsia"/>
              </w:rPr>
            </w:pPr>
            <w:r>
              <w:rPr>
                <w:rFonts w:hint="eastAsia" w:ascii="宋体" w:hAnsi="宋体" w:eastAsia="宋体" w:cs="宋体"/>
                <w:color w:val="000000"/>
                <w:kern w:val="0"/>
                <w:lang w:bidi="ar"/>
              </w:rPr>
              <w:t>0.00%</w:t>
            </w:r>
          </w:p>
        </w:tc>
      </w:tr>
      <w:tr w14:paraId="1FDE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35C670D5">
            <w:pPr>
              <w:adjustRightInd w:val="0"/>
              <w:snapToGrid w:val="0"/>
              <w:ind w:firstLine="0" w:firstLineChars="0"/>
              <w:jc w:val="left"/>
              <w:rPr>
                <w:rFonts w:hint="eastAsia"/>
              </w:rPr>
            </w:pPr>
            <w:r>
              <w:t>6.3 反馈与改进</w:t>
            </w:r>
          </w:p>
        </w:tc>
        <w:tc>
          <w:tcPr>
            <w:tcW w:w="1985" w:type="dxa"/>
            <w:vAlign w:val="center"/>
          </w:tcPr>
          <w:p w14:paraId="18E368C8">
            <w:pPr>
              <w:widowControl/>
              <w:jc w:val="center"/>
              <w:textAlignment w:val="center"/>
              <w:rPr>
                <w:rFonts w:hint="eastAsia"/>
              </w:rPr>
            </w:pPr>
            <w:r>
              <w:rPr>
                <w:rFonts w:hint="eastAsia" w:ascii="宋体" w:hAnsi="宋体" w:eastAsia="宋体" w:cs="宋体"/>
                <w:color w:val="000000"/>
                <w:kern w:val="0"/>
                <w:lang w:bidi="ar"/>
              </w:rPr>
              <w:t>62.50%</w:t>
            </w:r>
          </w:p>
        </w:tc>
        <w:tc>
          <w:tcPr>
            <w:tcW w:w="1852" w:type="dxa"/>
            <w:vAlign w:val="center"/>
          </w:tcPr>
          <w:p w14:paraId="67378C7B">
            <w:pPr>
              <w:widowControl/>
              <w:jc w:val="center"/>
              <w:textAlignment w:val="center"/>
              <w:rPr>
                <w:rFonts w:hint="eastAsia"/>
              </w:rPr>
            </w:pPr>
            <w:r>
              <w:rPr>
                <w:rFonts w:hint="eastAsia" w:ascii="宋体" w:hAnsi="宋体" w:eastAsia="宋体" w:cs="宋体"/>
                <w:color w:val="000000"/>
                <w:kern w:val="0"/>
                <w:lang w:bidi="ar"/>
              </w:rPr>
              <w:t>37.50%</w:t>
            </w:r>
          </w:p>
        </w:tc>
        <w:tc>
          <w:tcPr>
            <w:tcW w:w="1692" w:type="dxa"/>
          </w:tcPr>
          <w:p w14:paraId="591543FE">
            <w:pPr>
              <w:widowControl/>
              <w:jc w:val="center"/>
              <w:textAlignment w:val="top"/>
              <w:rPr>
                <w:rFonts w:hint="eastAsia"/>
              </w:rPr>
            </w:pPr>
            <w:r>
              <w:rPr>
                <w:rFonts w:hint="eastAsia" w:ascii="宋体" w:hAnsi="宋体" w:eastAsia="宋体" w:cs="宋体"/>
                <w:color w:val="000000"/>
                <w:kern w:val="0"/>
                <w:lang w:bidi="ar"/>
              </w:rPr>
              <w:t>0.00%</w:t>
            </w:r>
          </w:p>
        </w:tc>
      </w:tr>
      <w:tr w14:paraId="3C39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2CE4E22A">
            <w:pPr>
              <w:adjustRightInd w:val="0"/>
              <w:snapToGrid w:val="0"/>
              <w:ind w:firstLine="0" w:firstLineChars="0"/>
              <w:jc w:val="left"/>
              <w:rPr>
                <w:rFonts w:hint="eastAsia"/>
              </w:rPr>
            </w:pPr>
            <w:r>
              <w:t>7.1 团队结构</w:t>
            </w:r>
          </w:p>
        </w:tc>
        <w:tc>
          <w:tcPr>
            <w:tcW w:w="1985" w:type="dxa"/>
            <w:vAlign w:val="center"/>
          </w:tcPr>
          <w:p w14:paraId="63C53761">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1FEA6114">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tcPr>
          <w:p w14:paraId="7D9AF1C3">
            <w:pPr>
              <w:widowControl/>
              <w:jc w:val="center"/>
              <w:textAlignment w:val="top"/>
              <w:rPr>
                <w:rFonts w:hint="eastAsia"/>
              </w:rPr>
            </w:pPr>
            <w:r>
              <w:rPr>
                <w:rFonts w:hint="eastAsia" w:ascii="宋体" w:hAnsi="宋体" w:eastAsia="宋体" w:cs="宋体"/>
                <w:color w:val="000000"/>
                <w:kern w:val="0"/>
                <w:lang w:bidi="ar"/>
              </w:rPr>
              <w:t>0.00%</w:t>
            </w:r>
          </w:p>
        </w:tc>
      </w:tr>
      <w:tr w14:paraId="4A45E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0DA93A2E">
            <w:pPr>
              <w:adjustRightInd w:val="0"/>
              <w:snapToGrid w:val="0"/>
              <w:ind w:firstLine="0" w:firstLineChars="0"/>
              <w:jc w:val="left"/>
              <w:rPr>
                <w:rFonts w:hint="eastAsia"/>
              </w:rPr>
            </w:pPr>
            <w:r>
              <w:t>7.2 教学资质与能力</w:t>
            </w:r>
          </w:p>
        </w:tc>
        <w:tc>
          <w:tcPr>
            <w:tcW w:w="1985" w:type="dxa"/>
            <w:vAlign w:val="center"/>
          </w:tcPr>
          <w:p w14:paraId="3029AFA8">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4A449BAB">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tcPr>
          <w:p w14:paraId="4514CE94">
            <w:pPr>
              <w:widowControl/>
              <w:jc w:val="center"/>
              <w:textAlignment w:val="top"/>
              <w:rPr>
                <w:rFonts w:hint="eastAsia"/>
              </w:rPr>
            </w:pPr>
            <w:r>
              <w:rPr>
                <w:rFonts w:hint="eastAsia" w:ascii="宋体" w:hAnsi="宋体" w:eastAsia="宋体" w:cs="宋体"/>
                <w:color w:val="000000"/>
                <w:kern w:val="0"/>
                <w:lang w:bidi="ar"/>
              </w:rPr>
              <w:t>0.00%</w:t>
            </w:r>
          </w:p>
        </w:tc>
      </w:tr>
      <w:tr w14:paraId="3B4B3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77AEF9D2">
            <w:pPr>
              <w:adjustRightInd w:val="0"/>
              <w:snapToGrid w:val="0"/>
              <w:ind w:firstLine="0" w:firstLineChars="0"/>
              <w:jc w:val="left"/>
              <w:rPr>
                <w:rFonts w:hint="eastAsia"/>
              </w:rPr>
            </w:pPr>
            <w:r>
              <w:t>7.3 实践经历</w:t>
            </w:r>
          </w:p>
        </w:tc>
        <w:tc>
          <w:tcPr>
            <w:tcW w:w="1985" w:type="dxa"/>
            <w:vAlign w:val="center"/>
          </w:tcPr>
          <w:p w14:paraId="0EB2D79E">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7E067248">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tcPr>
          <w:p w14:paraId="585B2299">
            <w:pPr>
              <w:widowControl/>
              <w:jc w:val="center"/>
              <w:textAlignment w:val="top"/>
              <w:rPr>
                <w:rFonts w:hint="eastAsia"/>
              </w:rPr>
            </w:pPr>
            <w:r>
              <w:rPr>
                <w:rFonts w:hint="eastAsia" w:ascii="宋体" w:hAnsi="宋体" w:eastAsia="宋体" w:cs="宋体"/>
                <w:color w:val="000000"/>
                <w:kern w:val="0"/>
                <w:lang w:bidi="ar"/>
              </w:rPr>
              <w:t>0.00%</w:t>
            </w:r>
          </w:p>
        </w:tc>
      </w:tr>
      <w:tr w14:paraId="09A8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50924CC3">
            <w:pPr>
              <w:adjustRightInd w:val="0"/>
              <w:snapToGrid w:val="0"/>
              <w:ind w:firstLine="0" w:firstLineChars="0"/>
              <w:jc w:val="left"/>
              <w:rPr>
                <w:rFonts w:hint="eastAsia"/>
              </w:rPr>
            </w:pPr>
            <w:r>
              <w:t>7.4 专业教师学科背景</w:t>
            </w:r>
          </w:p>
        </w:tc>
        <w:tc>
          <w:tcPr>
            <w:tcW w:w="1985" w:type="dxa"/>
            <w:vAlign w:val="center"/>
          </w:tcPr>
          <w:p w14:paraId="1797B520">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320C4FC3">
            <w:pPr>
              <w:widowControl/>
              <w:jc w:val="center"/>
              <w:textAlignment w:val="center"/>
              <w:rPr>
                <w:rFonts w:hint="eastAsia"/>
              </w:rPr>
            </w:pPr>
            <w:r>
              <w:rPr>
                <w:rFonts w:hint="eastAsia" w:ascii="宋体" w:hAnsi="宋体" w:eastAsia="宋体" w:cs="宋体"/>
                <w:color w:val="000000"/>
                <w:kern w:val="0"/>
                <w:lang w:bidi="ar"/>
              </w:rPr>
              <w:t>12.50%</w:t>
            </w:r>
          </w:p>
        </w:tc>
        <w:tc>
          <w:tcPr>
            <w:tcW w:w="1692" w:type="dxa"/>
            <w:vAlign w:val="center"/>
          </w:tcPr>
          <w:p w14:paraId="1D5CBC17">
            <w:pPr>
              <w:widowControl/>
              <w:jc w:val="center"/>
              <w:textAlignment w:val="center"/>
              <w:rPr>
                <w:rFonts w:hint="eastAsia"/>
              </w:rPr>
            </w:pPr>
            <w:r>
              <w:rPr>
                <w:rFonts w:hint="eastAsia" w:ascii="宋体" w:hAnsi="宋体" w:eastAsia="宋体" w:cs="宋体"/>
                <w:color w:val="000000"/>
                <w:kern w:val="0"/>
                <w:lang w:bidi="ar"/>
              </w:rPr>
              <w:t>12.50%</w:t>
            </w:r>
          </w:p>
        </w:tc>
      </w:tr>
      <w:tr w14:paraId="3B85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213A467D">
            <w:pPr>
              <w:adjustRightInd w:val="0"/>
              <w:snapToGrid w:val="0"/>
              <w:ind w:firstLine="0" w:firstLineChars="0"/>
              <w:jc w:val="left"/>
              <w:rPr>
                <w:rFonts w:hint="eastAsia"/>
              </w:rPr>
            </w:pPr>
            <w:r>
              <w:t>7.5 专业教师技能要求</w:t>
            </w:r>
          </w:p>
        </w:tc>
        <w:tc>
          <w:tcPr>
            <w:tcW w:w="1985" w:type="dxa"/>
            <w:vAlign w:val="center"/>
          </w:tcPr>
          <w:p w14:paraId="53AEEE0B">
            <w:pPr>
              <w:widowControl/>
              <w:jc w:val="center"/>
              <w:textAlignment w:val="center"/>
              <w:rPr>
                <w:rFonts w:hint="eastAsia"/>
              </w:rPr>
            </w:pPr>
            <w:r>
              <w:rPr>
                <w:rFonts w:hint="eastAsia" w:ascii="宋体" w:hAnsi="宋体" w:eastAsia="宋体" w:cs="宋体"/>
                <w:color w:val="000000"/>
                <w:kern w:val="0"/>
                <w:lang w:bidi="ar"/>
              </w:rPr>
              <w:t>87.50%</w:t>
            </w:r>
          </w:p>
        </w:tc>
        <w:tc>
          <w:tcPr>
            <w:tcW w:w="1852" w:type="dxa"/>
            <w:vAlign w:val="center"/>
          </w:tcPr>
          <w:p w14:paraId="78EF0485">
            <w:pPr>
              <w:widowControl/>
              <w:jc w:val="center"/>
              <w:textAlignment w:val="center"/>
              <w:rPr>
                <w:rFonts w:hint="eastAsia"/>
              </w:rPr>
            </w:pPr>
            <w:r>
              <w:rPr>
                <w:rFonts w:hint="eastAsia" w:ascii="宋体" w:hAnsi="宋体" w:eastAsia="宋体" w:cs="宋体"/>
                <w:color w:val="000000"/>
                <w:kern w:val="0"/>
                <w:lang w:bidi="ar"/>
              </w:rPr>
              <w:t>12.50%</w:t>
            </w:r>
          </w:p>
        </w:tc>
        <w:tc>
          <w:tcPr>
            <w:tcW w:w="1692" w:type="dxa"/>
          </w:tcPr>
          <w:p w14:paraId="048D4B12">
            <w:pPr>
              <w:widowControl/>
              <w:jc w:val="center"/>
              <w:textAlignment w:val="top"/>
              <w:rPr>
                <w:rFonts w:hint="eastAsia"/>
              </w:rPr>
            </w:pPr>
            <w:r>
              <w:rPr>
                <w:rFonts w:hint="eastAsia" w:ascii="宋体" w:hAnsi="宋体" w:eastAsia="宋体" w:cs="宋体"/>
                <w:color w:val="000000"/>
                <w:kern w:val="0"/>
                <w:lang w:bidi="ar"/>
              </w:rPr>
              <w:t>0.00%</w:t>
            </w:r>
          </w:p>
        </w:tc>
      </w:tr>
      <w:tr w14:paraId="3D344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10BC6044">
            <w:pPr>
              <w:adjustRightInd w:val="0"/>
              <w:snapToGrid w:val="0"/>
              <w:ind w:firstLine="0" w:firstLineChars="0"/>
              <w:jc w:val="left"/>
              <w:rPr>
                <w:rFonts w:hint="eastAsia"/>
              </w:rPr>
            </w:pPr>
            <w:r>
              <w:t>7.6 企业兼职教师</w:t>
            </w:r>
          </w:p>
        </w:tc>
        <w:tc>
          <w:tcPr>
            <w:tcW w:w="1985" w:type="dxa"/>
            <w:vAlign w:val="center"/>
          </w:tcPr>
          <w:p w14:paraId="25C5D484">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31768E31">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tcPr>
          <w:p w14:paraId="2C39B728">
            <w:pPr>
              <w:widowControl/>
              <w:jc w:val="center"/>
              <w:textAlignment w:val="top"/>
              <w:rPr>
                <w:rFonts w:hint="eastAsia"/>
              </w:rPr>
            </w:pPr>
            <w:r>
              <w:rPr>
                <w:rFonts w:hint="eastAsia" w:ascii="宋体" w:hAnsi="宋体" w:eastAsia="宋体" w:cs="宋体"/>
                <w:color w:val="000000"/>
                <w:kern w:val="0"/>
                <w:lang w:bidi="ar"/>
              </w:rPr>
              <w:t>0.00%</w:t>
            </w:r>
          </w:p>
        </w:tc>
      </w:tr>
      <w:tr w14:paraId="120BA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1A6F60B2">
            <w:pPr>
              <w:adjustRightInd w:val="0"/>
              <w:snapToGrid w:val="0"/>
              <w:ind w:firstLine="0" w:firstLineChars="0"/>
              <w:jc w:val="left"/>
              <w:rPr>
                <w:rFonts w:hint="eastAsia"/>
              </w:rPr>
            </w:pPr>
            <w:r>
              <w:t>8.1 合作平台</w:t>
            </w:r>
          </w:p>
        </w:tc>
        <w:tc>
          <w:tcPr>
            <w:tcW w:w="1985" w:type="dxa"/>
            <w:vAlign w:val="center"/>
          </w:tcPr>
          <w:p w14:paraId="3DDD5532">
            <w:pPr>
              <w:widowControl/>
              <w:jc w:val="center"/>
              <w:textAlignment w:val="center"/>
              <w:rPr>
                <w:rFonts w:hint="eastAsia"/>
              </w:rPr>
            </w:pPr>
            <w:r>
              <w:rPr>
                <w:rFonts w:hint="eastAsia" w:ascii="宋体" w:hAnsi="宋体" w:eastAsia="宋体" w:cs="宋体"/>
                <w:color w:val="000000"/>
                <w:kern w:val="0"/>
                <w:lang w:bidi="ar"/>
              </w:rPr>
              <w:t>62.50%</w:t>
            </w:r>
          </w:p>
        </w:tc>
        <w:tc>
          <w:tcPr>
            <w:tcW w:w="1852" w:type="dxa"/>
            <w:vAlign w:val="center"/>
          </w:tcPr>
          <w:p w14:paraId="6F1A3268">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vAlign w:val="center"/>
          </w:tcPr>
          <w:p w14:paraId="5B0CB86A">
            <w:pPr>
              <w:widowControl/>
              <w:jc w:val="center"/>
              <w:textAlignment w:val="center"/>
              <w:rPr>
                <w:rFonts w:hint="eastAsia"/>
              </w:rPr>
            </w:pPr>
            <w:r>
              <w:rPr>
                <w:rFonts w:hint="eastAsia" w:ascii="宋体" w:hAnsi="宋体" w:eastAsia="宋体" w:cs="宋体"/>
                <w:color w:val="000000"/>
                <w:kern w:val="0"/>
                <w:lang w:bidi="ar"/>
              </w:rPr>
              <w:t>12.50%</w:t>
            </w:r>
          </w:p>
        </w:tc>
      </w:tr>
      <w:tr w14:paraId="7B97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63D64E84">
            <w:pPr>
              <w:adjustRightInd w:val="0"/>
              <w:snapToGrid w:val="0"/>
              <w:ind w:firstLine="0" w:firstLineChars="0"/>
              <w:jc w:val="left"/>
              <w:rPr>
                <w:rFonts w:hint="eastAsia"/>
              </w:rPr>
            </w:pPr>
            <w:r>
              <w:t>8.2 合作机制</w:t>
            </w:r>
          </w:p>
        </w:tc>
        <w:tc>
          <w:tcPr>
            <w:tcW w:w="1985" w:type="dxa"/>
            <w:vAlign w:val="center"/>
          </w:tcPr>
          <w:p w14:paraId="2F8F0AD3">
            <w:pPr>
              <w:widowControl/>
              <w:jc w:val="center"/>
              <w:textAlignment w:val="center"/>
              <w:rPr>
                <w:rFonts w:hint="eastAsia"/>
              </w:rPr>
            </w:pPr>
            <w:r>
              <w:rPr>
                <w:rFonts w:hint="eastAsia" w:ascii="宋体" w:hAnsi="宋体" w:eastAsia="宋体" w:cs="宋体"/>
                <w:color w:val="000000"/>
                <w:kern w:val="0"/>
                <w:lang w:bidi="ar"/>
              </w:rPr>
              <w:t>50.00%</w:t>
            </w:r>
          </w:p>
        </w:tc>
        <w:tc>
          <w:tcPr>
            <w:tcW w:w="1852" w:type="dxa"/>
            <w:vAlign w:val="center"/>
          </w:tcPr>
          <w:p w14:paraId="1D9F1792">
            <w:pPr>
              <w:widowControl/>
              <w:jc w:val="center"/>
              <w:textAlignment w:val="center"/>
              <w:rPr>
                <w:rFonts w:hint="eastAsia"/>
              </w:rPr>
            </w:pPr>
            <w:r>
              <w:rPr>
                <w:rFonts w:hint="eastAsia" w:ascii="宋体" w:hAnsi="宋体" w:eastAsia="宋体" w:cs="宋体"/>
                <w:color w:val="000000"/>
                <w:kern w:val="0"/>
                <w:lang w:bidi="ar"/>
              </w:rPr>
              <w:t>50.00%</w:t>
            </w:r>
          </w:p>
        </w:tc>
        <w:tc>
          <w:tcPr>
            <w:tcW w:w="1692" w:type="dxa"/>
          </w:tcPr>
          <w:p w14:paraId="7B580A7C">
            <w:pPr>
              <w:widowControl/>
              <w:jc w:val="center"/>
              <w:textAlignment w:val="top"/>
              <w:rPr>
                <w:rFonts w:hint="eastAsia"/>
              </w:rPr>
            </w:pPr>
            <w:r>
              <w:rPr>
                <w:rFonts w:hint="eastAsia" w:ascii="宋体" w:hAnsi="宋体" w:eastAsia="宋体" w:cs="宋体"/>
                <w:color w:val="000000"/>
                <w:kern w:val="0"/>
                <w:lang w:bidi="ar"/>
              </w:rPr>
              <w:t>0.00%</w:t>
            </w:r>
          </w:p>
        </w:tc>
      </w:tr>
      <w:tr w14:paraId="5D9B4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7434F84D">
            <w:pPr>
              <w:adjustRightInd w:val="0"/>
              <w:snapToGrid w:val="0"/>
              <w:ind w:firstLine="0" w:firstLineChars="0"/>
              <w:jc w:val="left"/>
              <w:rPr>
                <w:rFonts w:hint="eastAsia"/>
              </w:rPr>
            </w:pPr>
            <w:r>
              <w:t>8.3 合作成效</w:t>
            </w:r>
          </w:p>
        </w:tc>
        <w:tc>
          <w:tcPr>
            <w:tcW w:w="1985" w:type="dxa"/>
            <w:vAlign w:val="center"/>
          </w:tcPr>
          <w:p w14:paraId="2F2691FE">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75BB8607">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tcPr>
          <w:p w14:paraId="3611A2B2">
            <w:pPr>
              <w:widowControl/>
              <w:jc w:val="center"/>
              <w:textAlignment w:val="top"/>
              <w:rPr>
                <w:rFonts w:hint="eastAsia"/>
              </w:rPr>
            </w:pPr>
            <w:r>
              <w:rPr>
                <w:rFonts w:hint="eastAsia" w:ascii="宋体" w:hAnsi="宋体" w:eastAsia="宋体" w:cs="宋体"/>
                <w:color w:val="000000"/>
                <w:kern w:val="0"/>
                <w:lang w:bidi="ar"/>
              </w:rPr>
              <w:t>0.00%</w:t>
            </w:r>
          </w:p>
        </w:tc>
      </w:tr>
      <w:tr w14:paraId="504C0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29DB28AE">
            <w:pPr>
              <w:adjustRightInd w:val="0"/>
              <w:snapToGrid w:val="0"/>
              <w:ind w:firstLine="0" w:firstLineChars="0"/>
              <w:jc w:val="left"/>
              <w:rPr>
                <w:rFonts w:hint="eastAsia"/>
              </w:rPr>
            </w:pPr>
            <w:r>
              <w:t>9.1 教学设施</w:t>
            </w:r>
          </w:p>
        </w:tc>
        <w:tc>
          <w:tcPr>
            <w:tcW w:w="1985" w:type="dxa"/>
            <w:vAlign w:val="center"/>
          </w:tcPr>
          <w:p w14:paraId="57B45C06">
            <w:pPr>
              <w:widowControl/>
              <w:jc w:val="center"/>
              <w:textAlignment w:val="center"/>
              <w:rPr>
                <w:rFonts w:hint="eastAsia"/>
              </w:rPr>
            </w:pPr>
            <w:r>
              <w:rPr>
                <w:rFonts w:hint="eastAsia" w:ascii="宋体" w:hAnsi="宋体" w:eastAsia="宋体" w:cs="宋体"/>
                <w:color w:val="000000"/>
                <w:kern w:val="0"/>
                <w:lang w:bidi="ar"/>
              </w:rPr>
              <w:t>75.00%</w:t>
            </w:r>
          </w:p>
        </w:tc>
        <w:tc>
          <w:tcPr>
            <w:tcW w:w="1852" w:type="dxa"/>
            <w:vAlign w:val="center"/>
          </w:tcPr>
          <w:p w14:paraId="3D3B3097">
            <w:pPr>
              <w:widowControl/>
              <w:jc w:val="center"/>
              <w:textAlignment w:val="center"/>
              <w:rPr>
                <w:rFonts w:hint="eastAsia"/>
              </w:rPr>
            </w:pPr>
            <w:r>
              <w:rPr>
                <w:rFonts w:hint="eastAsia" w:ascii="宋体" w:hAnsi="宋体" w:eastAsia="宋体" w:cs="宋体"/>
                <w:color w:val="000000"/>
                <w:kern w:val="0"/>
                <w:lang w:bidi="ar"/>
              </w:rPr>
              <w:t>25.00%</w:t>
            </w:r>
          </w:p>
        </w:tc>
        <w:tc>
          <w:tcPr>
            <w:tcW w:w="1692" w:type="dxa"/>
          </w:tcPr>
          <w:p w14:paraId="22C3E59A">
            <w:pPr>
              <w:widowControl/>
              <w:jc w:val="center"/>
              <w:textAlignment w:val="top"/>
              <w:rPr>
                <w:rFonts w:hint="eastAsia"/>
              </w:rPr>
            </w:pPr>
            <w:r>
              <w:rPr>
                <w:rFonts w:hint="eastAsia" w:ascii="宋体" w:hAnsi="宋体" w:eastAsia="宋体" w:cs="宋体"/>
                <w:color w:val="000000"/>
                <w:kern w:val="0"/>
                <w:lang w:bidi="ar"/>
              </w:rPr>
              <w:t>0.00%</w:t>
            </w:r>
          </w:p>
        </w:tc>
      </w:tr>
      <w:tr w14:paraId="549F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10071C12">
            <w:pPr>
              <w:adjustRightInd w:val="0"/>
              <w:snapToGrid w:val="0"/>
              <w:ind w:firstLine="0" w:firstLineChars="0"/>
              <w:jc w:val="left"/>
              <w:rPr>
                <w:rFonts w:hint="eastAsia"/>
              </w:rPr>
            </w:pPr>
            <w:r>
              <w:t>9.2 实践基地</w:t>
            </w:r>
          </w:p>
        </w:tc>
        <w:tc>
          <w:tcPr>
            <w:tcW w:w="1985" w:type="dxa"/>
          </w:tcPr>
          <w:p w14:paraId="7BCC9349">
            <w:pPr>
              <w:widowControl/>
              <w:jc w:val="center"/>
              <w:textAlignment w:val="top"/>
              <w:rPr>
                <w:rFonts w:hint="eastAsia"/>
              </w:rPr>
            </w:pPr>
            <w:r>
              <w:rPr>
                <w:rFonts w:hint="eastAsia" w:ascii="宋体" w:hAnsi="宋体" w:eastAsia="宋体" w:cs="宋体"/>
                <w:color w:val="000000"/>
                <w:kern w:val="0"/>
                <w:lang w:bidi="ar"/>
              </w:rPr>
              <w:t>75.00%</w:t>
            </w:r>
          </w:p>
        </w:tc>
        <w:tc>
          <w:tcPr>
            <w:tcW w:w="1852" w:type="dxa"/>
            <w:vAlign w:val="center"/>
          </w:tcPr>
          <w:p w14:paraId="723B52EC">
            <w:pPr>
              <w:widowControl/>
              <w:jc w:val="center"/>
              <w:textAlignment w:val="center"/>
              <w:rPr>
                <w:rFonts w:hint="eastAsia"/>
              </w:rPr>
            </w:pPr>
            <w:r>
              <w:rPr>
                <w:rFonts w:hint="eastAsia" w:ascii="宋体" w:hAnsi="宋体" w:eastAsia="宋体" w:cs="宋体"/>
                <w:color w:val="000000"/>
                <w:kern w:val="0"/>
                <w:lang w:bidi="ar"/>
              </w:rPr>
              <w:t>12.50%</w:t>
            </w:r>
          </w:p>
        </w:tc>
        <w:tc>
          <w:tcPr>
            <w:tcW w:w="1692" w:type="dxa"/>
            <w:vAlign w:val="center"/>
          </w:tcPr>
          <w:p w14:paraId="68E92E3A">
            <w:pPr>
              <w:widowControl/>
              <w:jc w:val="center"/>
              <w:textAlignment w:val="center"/>
              <w:rPr>
                <w:rFonts w:hint="eastAsia"/>
              </w:rPr>
            </w:pPr>
            <w:r>
              <w:rPr>
                <w:rFonts w:hint="eastAsia" w:ascii="宋体" w:hAnsi="宋体" w:eastAsia="宋体" w:cs="宋体"/>
                <w:color w:val="000000"/>
                <w:kern w:val="0"/>
                <w:lang w:bidi="ar"/>
              </w:rPr>
              <w:t>12.50%</w:t>
            </w:r>
          </w:p>
        </w:tc>
      </w:tr>
      <w:tr w14:paraId="0962B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028EB700">
            <w:pPr>
              <w:adjustRightInd w:val="0"/>
              <w:snapToGrid w:val="0"/>
              <w:ind w:firstLine="0" w:firstLineChars="0"/>
              <w:jc w:val="left"/>
              <w:rPr>
                <w:rFonts w:hint="eastAsia"/>
              </w:rPr>
            </w:pPr>
            <w:r>
              <w:t>9.3 图书资源</w:t>
            </w:r>
          </w:p>
        </w:tc>
        <w:tc>
          <w:tcPr>
            <w:tcW w:w="1985" w:type="dxa"/>
          </w:tcPr>
          <w:p w14:paraId="380F3E36">
            <w:pPr>
              <w:widowControl/>
              <w:jc w:val="center"/>
              <w:textAlignment w:val="top"/>
              <w:rPr>
                <w:rFonts w:hint="eastAsia"/>
              </w:rPr>
            </w:pPr>
            <w:r>
              <w:rPr>
                <w:rFonts w:hint="eastAsia" w:ascii="宋体" w:hAnsi="宋体" w:eastAsia="宋体" w:cs="宋体"/>
                <w:color w:val="000000"/>
                <w:kern w:val="0"/>
                <w:lang w:bidi="ar"/>
              </w:rPr>
              <w:t>75.00%</w:t>
            </w:r>
          </w:p>
        </w:tc>
        <w:tc>
          <w:tcPr>
            <w:tcW w:w="1852" w:type="dxa"/>
          </w:tcPr>
          <w:p w14:paraId="3BD274D6">
            <w:pPr>
              <w:widowControl/>
              <w:jc w:val="center"/>
              <w:textAlignment w:val="top"/>
              <w:rPr>
                <w:rFonts w:hint="eastAsia"/>
              </w:rPr>
            </w:pPr>
            <w:r>
              <w:rPr>
                <w:rFonts w:hint="eastAsia" w:ascii="宋体" w:hAnsi="宋体" w:eastAsia="宋体" w:cs="宋体"/>
                <w:color w:val="000000"/>
                <w:kern w:val="0"/>
                <w:lang w:bidi="ar"/>
              </w:rPr>
              <w:t>25.00%</w:t>
            </w:r>
          </w:p>
        </w:tc>
        <w:tc>
          <w:tcPr>
            <w:tcW w:w="1692" w:type="dxa"/>
          </w:tcPr>
          <w:p w14:paraId="13D910B5">
            <w:pPr>
              <w:widowControl/>
              <w:jc w:val="center"/>
              <w:textAlignment w:val="top"/>
              <w:rPr>
                <w:rFonts w:hint="eastAsia"/>
              </w:rPr>
            </w:pPr>
            <w:r>
              <w:rPr>
                <w:rFonts w:hint="eastAsia" w:ascii="宋体" w:hAnsi="宋体" w:eastAsia="宋体" w:cs="宋体"/>
                <w:color w:val="000000"/>
                <w:kern w:val="0"/>
                <w:lang w:bidi="ar"/>
              </w:rPr>
              <w:t>0.00%</w:t>
            </w:r>
          </w:p>
        </w:tc>
      </w:tr>
      <w:tr w14:paraId="034EE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vAlign w:val="center"/>
          </w:tcPr>
          <w:p w14:paraId="2B0DFE39">
            <w:pPr>
              <w:adjustRightInd w:val="0"/>
              <w:snapToGrid w:val="0"/>
              <w:ind w:firstLine="0" w:firstLineChars="0"/>
              <w:jc w:val="left"/>
              <w:rPr>
                <w:rFonts w:hint="eastAsia"/>
              </w:rPr>
            </w:pPr>
            <w:r>
              <w:t>9.4 信息化</w:t>
            </w:r>
          </w:p>
        </w:tc>
        <w:tc>
          <w:tcPr>
            <w:tcW w:w="1985" w:type="dxa"/>
          </w:tcPr>
          <w:p w14:paraId="52DEA48D">
            <w:pPr>
              <w:widowControl/>
              <w:jc w:val="center"/>
              <w:textAlignment w:val="top"/>
              <w:rPr>
                <w:rFonts w:hint="eastAsia"/>
              </w:rPr>
            </w:pPr>
            <w:r>
              <w:rPr>
                <w:rFonts w:hint="eastAsia" w:ascii="宋体" w:hAnsi="宋体" w:eastAsia="宋体" w:cs="宋体"/>
                <w:color w:val="000000"/>
                <w:kern w:val="0"/>
                <w:lang w:bidi="ar"/>
              </w:rPr>
              <w:t>75.00%</w:t>
            </w:r>
          </w:p>
        </w:tc>
        <w:tc>
          <w:tcPr>
            <w:tcW w:w="1852" w:type="dxa"/>
          </w:tcPr>
          <w:p w14:paraId="425B98E1">
            <w:pPr>
              <w:widowControl/>
              <w:jc w:val="center"/>
              <w:textAlignment w:val="top"/>
              <w:rPr>
                <w:rFonts w:hint="eastAsia"/>
              </w:rPr>
            </w:pPr>
            <w:r>
              <w:rPr>
                <w:rFonts w:hint="eastAsia" w:ascii="宋体" w:hAnsi="宋体" w:eastAsia="宋体" w:cs="宋体"/>
                <w:color w:val="000000"/>
                <w:kern w:val="0"/>
                <w:lang w:bidi="ar"/>
              </w:rPr>
              <w:t>25.00%</w:t>
            </w:r>
          </w:p>
        </w:tc>
        <w:tc>
          <w:tcPr>
            <w:tcW w:w="1692" w:type="dxa"/>
          </w:tcPr>
          <w:p w14:paraId="4F04B98B">
            <w:pPr>
              <w:widowControl/>
              <w:jc w:val="center"/>
              <w:textAlignment w:val="top"/>
              <w:rPr>
                <w:rFonts w:hint="eastAsia"/>
              </w:rPr>
            </w:pPr>
            <w:r>
              <w:rPr>
                <w:rFonts w:hint="eastAsia" w:ascii="宋体" w:hAnsi="宋体" w:eastAsia="宋体" w:cs="宋体"/>
                <w:color w:val="000000"/>
                <w:kern w:val="0"/>
                <w:lang w:bidi="ar"/>
              </w:rPr>
              <w:t>0.00%</w:t>
            </w:r>
          </w:p>
        </w:tc>
      </w:tr>
    </w:tbl>
    <w:p w14:paraId="03F8917B">
      <w:pPr>
        <w:adjustRightInd w:val="0"/>
        <w:snapToGrid w:val="0"/>
        <w:spacing w:line="360" w:lineRule="auto"/>
        <w:ind w:firstLine="0" w:firstLineChars="0"/>
        <w:jc w:val="left"/>
        <w:rPr>
          <w:rFonts w:hint="eastAsia"/>
          <w:sz w:val="21"/>
          <w:szCs w:val="21"/>
        </w:rPr>
      </w:pPr>
    </w:p>
    <w:p w14:paraId="71F1C019">
      <w:pPr>
        <w:adjustRightInd w:val="0"/>
        <w:snapToGrid w:val="0"/>
        <w:spacing w:line="360" w:lineRule="auto"/>
        <w:ind w:firstLine="420" w:firstLineChars="0"/>
        <w:jc w:val="left"/>
        <w:rPr>
          <w:rFonts w:hint="eastAsia"/>
          <w:sz w:val="21"/>
          <w:szCs w:val="21"/>
        </w:rPr>
      </w:pPr>
      <w:r>
        <w:rPr>
          <w:rFonts w:hint="eastAsia"/>
          <w:sz w:val="21"/>
          <w:szCs w:val="21"/>
        </w:rPr>
        <w:t>工作组分析了实地调查得到的二级指标等级符合度汇总数据，认为本文件的指标值符合专科专业的现状，但A等级符合度稍高，为此对本文件之10.1评价等级的条件进行微调：</w:t>
      </w:r>
    </w:p>
    <w:p w14:paraId="62637A8D">
      <w:pPr>
        <w:adjustRightInd w:val="0"/>
        <w:snapToGrid w:val="0"/>
        <w:spacing w:line="360" w:lineRule="auto"/>
        <w:ind w:firstLine="420" w:firstLineChars="0"/>
        <w:jc w:val="left"/>
        <w:rPr>
          <w:rFonts w:hint="eastAsia"/>
          <w:sz w:val="21"/>
          <w:szCs w:val="21"/>
        </w:rPr>
      </w:pPr>
      <w:r>
        <w:rPr>
          <w:rFonts w:ascii="Times New Roman" w:hAnsi="Times New Roman"/>
          <w:sz w:val="21"/>
          <w:szCs w:val="21"/>
        </w:rPr>
        <w:t>——</w:t>
      </w:r>
      <w:r>
        <w:rPr>
          <w:rFonts w:hint="eastAsia"/>
          <w:sz w:val="21"/>
          <w:szCs w:val="21"/>
        </w:rPr>
        <w:t>通过。由≥75%</w:t>
      </w:r>
      <w:r>
        <w:rPr>
          <w:sz w:val="21"/>
          <w:szCs w:val="21"/>
        </w:rPr>
        <w:t>的二级指标完全符合要求</w:t>
      </w:r>
      <w:r>
        <w:rPr>
          <w:rFonts w:hint="eastAsia"/>
          <w:sz w:val="21"/>
          <w:szCs w:val="21"/>
        </w:rPr>
        <w:t>（A级）调整为≥80%</w:t>
      </w:r>
      <w:r>
        <w:rPr>
          <w:sz w:val="21"/>
          <w:szCs w:val="21"/>
        </w:rPr>
        <w:t>的二级指标完全符合要求</w:t>
      </w:r>
      <w:r>
        <w:rPr>
          <w:rFonts w:hint="eastAsia"/>
          <w:sz w:val="21"/>
          <w:szCs w:val="21"/>
        </w:rPr>
        <w:t>（A级）。</w:t>
      </w:r>
    </w:p>
    <w:p w14:paraId="1D61717B">
      <w:pPr>
        <w:pStyle w:val="5"/>
      </w:pPr>
      <w:r>
        <w:rPr>
          <w:rFonts w:hint="eastAsia"/>
        </w:rPr>
        <w:t>4.3 模具设计与制造专业试验验证</w:t>
      </w:r>
    </w:p>
    <w:p w14:paraId="3E4B31A2">
      <w:pPr>
        <w:adjustRightInd w:val="0"/>
        <w:snapToGrid w:val="0"/>
        <w:spacing w:line="360" w:lineRule="auto"/>
        <w:ind w:firstLine="210"/>
        <w:rPr>
          <w:rFonts w:hint="eastAsia"/>
          <w:sz w:val="21"/>
          <w:szCs w:val="21"/>
        </w:rPr>
      </w:pPr>
      <w:r>
        <w:rPr>
          <w:rFonts w:hint="eastAsia"/>
          <w:sz w:val="21"/>
          <w:szCs w:val="21"/>
        </w:rPr>
        <w:t>本标准制定后，工作组对无锡职业技术大学模具设计与制造专业，按照本文件的各项条款和试验方法，进行了试验验证：</w:t>
      </w:r>
    </w:p>
    <w:p w14:paraId="65BBE54C">
      <w:pPr>
        <w:adjustRightInd w:val="0"/>
        <w:snapToGrid w:val="0"/>
        <w:spacing w:line="360" w:lineRule="auto"/>
        <w:ind w:firstLine="210"/>
        <w:rPr>
          <w:rFonts w:hint="eastAsia"/>
          <w:sz w:val="21"/>
          <w:szCs w:val="21"/>
        </w:rPr>
      </w:pPr>
      <w:r>
        <w:rPr>
          <w:rFonts w:hint="eastAsia"/>
          <w:sz w:val="21"/>
          <w:szCs w:val="21"/>
        </w:rPr>
        <w:t>试验验证报告提供单位：机械行业职业教育标准研究所</w:t>
      </w:r>
    </w:p>
    <w:p w14:paraId="74587F74">
      <w:pPr>
        <w:adjustRightInd w:val="0"/>
        <w:snapToGrid w:val="0"/>
        <w:spacing w:line="360" w:lineRule="auto"/>
        <w:ind w:firstLine="210"/>
        <w:rPr>
          <w:rFonts w:hint="eastAsia"/>
          <w:sz w:val="21"/>
          <w:szCs w:val="21"/>
        </w:rPr>
      </w:pPr>
      <w:r>
        <w:rPr>
          <w:rFonts w:hint="eastAsia"/>
          <w:sz w:val="21"/>
          <w:szCs w:val="21"/>
        </w:rPr>
        <w:t>验证情况表见表8。</w:t>
      </w:r>
    </w:p>
    <w:p w14:paraId="021E8619">
      <w:pPr>
        <w:adjustRightInd w:val="0"/>
        <w:snapToGrid w:val="0"/>
        <w:spacing w:line="360" w:lineRule="auto"/>
        <w:ind w:firstLine="240"/>
        <w:jc w:val="center"/>
        <w:rPr>
          <w:rFonts w:hint="eastAsia"/>
          <w:sz w:val="21"/>
          <w:szCs w:val="21"/>
        </w:rPr>
      </w:pPr>
      <w:r>
        <w:rPr>
          <w:rFonts w:hint="eastAsia" w:ascii="黑体" w:hAnsi="黑体" w:eastAsia="黑体" w:cs="黑体"/>
          <w:sz w:val="24"/>
          <w:szCs w:val="24"/>
        </w:rPr>
        <w:t>表8  模具设计与制造专业（专业代码：460113）教学质量评价规范试验验证报表</w:t>
      </w:r>
    </w:p>
    <w:tbl>
      <w:tblPr>
        <w:tblStyle w:val="18"/>
        <w:tblW w:w="9994"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1073"/>
        <w:gridCol w:w="1261"/>
        <w:gridCol w:w="2976"/>
        <w:gridCol w:w="4684"/>
      </w:tblGrid>
      <w:tr w14:paraId="506A7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 w:hRule="atLeast"/>
          <w:tblHeader/>
          <w:jc w:val="right"/>
        </w:trPr>
        <w:tc>
          <w:tcPr>
            <w:tcW w:w="1073" w:type="dxa"/>
            <w:tcMar>
              <w:top w:w="57" w:type="dxa"/>
              <w:left w:w="108" w:type="dxa"/>
              <w:bottom w:w="57" w:type="dxa"/>
              <w:right w:w="108" w:type="dxa"/>
            </w:tcMar>
            <w:vAlign w:val="center"/>
          </w:tcPr>
          <w:p w14:paraId="680B116C">
            <w:pPr>
              <w:adjustRightInd w:val="0"/>
              <w:snapToGrid w:val="0"/>
              <w:ind w:firstLine="0" w:firstLineChars="0"/>
              <w:jc w:val="center"/>
              <w:rPr>
                <w:rFonts w:hint="eastAsia" w:ascii="宋体" w:hAnsi="宋体" w:eastAsia="宋体" w:cs="宋体"/>
                <w:b/>
                <w:bCs/>
                <w:color w:val="000000"/>
                <w:kern w:val="0"/>
              </w:rPr>
            </w:pPr>
            <w:r>
              <w:rPr>
                <w:rFonts w:hint="eastAsia" w:ascii="宋体" w:hAnsi="宋体" w:eastAsia="宋体" w:cs="宋体"/>
                <w:b/>
                <w:bCs/>
                <w:color w:val="000000"/>
                <w:kern w:val="0"/>
              </w:rPr>
              <w:t>一级指标</w:t>
            </w:r>
          </w:p>
        </w:tc>
        <w:tc>
          <w:tcPr>
            <w:tcW w:w="1261" w:type="dxa"/>
            <w:tcMar>
              <w:top w:w="57" w:type="dxa"/>
              <w:left w:w="108" w:type="dxa"/>
              <w:bottom w:w="57" w:type="dxa"/>
              <w:right w:w="108" w:type="dxa"/>
            </w:tcMar>
            <w:vAlign w:val="center"/>
          </w:tcPr>
          <w:p w14:paraId="0BA839C0">
            <w:pPr>
              <w:adjustRightInd w:val="0"/>
              <w:snapToGrid w:val="0"/>
              <w:ind w:firstLine="0" w:firstLineChars="0"/>
              <w:jc w:val="center"/>
              <w:rPr>
                <w:rFonts w:hint="eastAsia" w:ascii="宋体" w:hAnsi="宋体" w:eastAsia="宋体" w:cs="宋体"/>
                <w:b/>
                <w:bCs/>
                <w:color w:val="000000"/>
                <w:kern w:val="0"/>
              </w:rPr>
            </w:pPr>
            <w:r>
              <w:rPr>
                <w:rFonts w:hint="eastAsia" w:ascii="宋体" w:hAnsi="宋体" w:eastAsia="宋体" w:cs="宋体"/>
                <w:b/>
                <w:bCs/>
                <w:color w:val="000000"/>
                <w:kern w:val="0"/>
              </w:rPr>
              <w:t>二级指标</w:t>
            </w:r>
          </w:p>
        </w:tc>
        <w:tc>
          <w:tcPr>
            <w:tcW w:w="2976" w:type="dxa"/>
            <w:tcMar>
              <w:top w:w="57" w:type="dxa"/>
              <w:left w:w="108" w:type="dxa"/>
              <w:bottom w:w="57" w:type="dxa"/>
              <w:right w:w="108" w:type="dxa"/>
            </w:tcMar>
            <w:vAlign w:val="center"/>
          </w:tcPr>
          <w:p w14:paraId="4FBC393D">
            <w:pPr>
              <w:adjustRightInd w:val="0"/>
              <w:snapToGrid w:val="0"/>
              <w:ind w:firstLine="181"/>
              <w:jc w:val="center"/>
              <w:rPr>
                <w:rFonts w:hint="eastAsia" w:ascii="宋体" w:hAnsi="宋体" w:eastAsia="宋体" w:cs="宋体"/>
                <w:b/>
                <w:bCs/>
                <w:color w:val="000000"/>
                <w:kern w:val="0"/>
              </w:rPr>
            </w:pPr>
            <w:r>
              <w:rPr>
                <w:rFonts w:hint="eastAsia" w:ascii="宋体" w:hAnsi="宋体" w:eastAsia="宋体" w:cs="宋体"/>
                <w:b/>
                <w:bCs/>
                <w:color w:val="000000"/>
                <w:kern w:val="0"/>
              </w:rPr>
              <w:t>判断基准及具象</w:t>
            </w:r>
          </w:p>
        </w:tc>
        <w:tc>
          <w:tcPr>
            <w:tcW w:w="4684" w:type="dxa"/>
            <w:tcMar>
              <w:top w:w="57" w:type="dxa"/>
              <w:left w:w="108" w:type="dxa"/>
              <w:bottom w:w="57" w:type="dxa"/>
              <w:right w:w="108" w:type="dxa"/>
            </w:tcMar>
            <w:vAlign w:val="center"/>
          </w:tcPr>
          <w:p w14:paraId="02ECC5BC">
            <w:pPr>
              <w:adjustRightInd w:val="0"/>
              <w:snapToGrid w:val="0"/>
              <w:ind w:firstLine="181"/>
              <w:jc w:val="center"/>
              <w:rPr>
                <w:rFonts w:hint="eastAsia" w:ascii="宋体" w:hAnsi="宋体" w:eastAsia="宋体" w:cs="宋体"/>
                <w:b/>
                <w:bCs/>
                <w:color w:val="000000"/>
                <w:kern w:val="0"/>
              </w:rPr>
            </w:pPr>
            <w:r>
              <w:rPr>
                <w:rFonts w:hint="eastAsia" w:ascii="宋体" w:hAnsi="宋体" w:eastAsia="宋体" w:cs="宋体"/>
                <w:b/>
                <w:bCs/>
                <w:color w:val="000000"/>
                <w:kern w:val="0"/>
              </w:rPr>
              <w:t>判断依据及具象</w:t>
            </w:r>
          </w:p>
        </w:tc>
      </w:tr>
      <w:tr w14:paraId="42BE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660" w:hRule="atLeast"/>
          <w:jc w:val="right"/>
        </w:trPr>
        <w:tc>
          <w:tcPr>
            <w:tcW w:w="1073" w:type="dxa"/>
            <w:tcMar>
              <w:top w:w="57" w:type="dxa"/>
              <w:left w:w="108" w:type="dxa"/>
              <w:bottom w:w="57" w:type="dxa"/>
              <w:right w:w="108" w:type="dxa"/>
            </w:tcMar>
            <w:vAlign w:val="center"/>
          </w:tcPr>
          <w:p w14:paraId="1F97808B">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1学生发展</w:t>
            </w:r>
          </w:p>
        </w:tc>
        <w:tc>
          <w:tcPr>
            <w:tcW w:w="1261" w:type="dxa"/>
            <w:tcMar>
              <w:top w:w="57" w:type="dxa"/>
              <w:left w:w="108" w:type="dxa"/>
              <w:bottom w:w="57" w:type="dxa"/>
              <w:right w:w="108" w:type="dxa"/>
            </w:tcMar>
            <w:vAlign w:val="center"/>
          </w:tcPr>
          <w:p w14:paraId="122B244C">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1.1生源质量</w:t>
            </w:r>
          </w:p>
        </w:tc>
        <w:tc>
          <w:tcPr>
            <w:tcW w:w="2976" w:type="dxa"/>
            <w:tcMar>
              <w:top w:w="57" w:type="dxa"/>
              <w:left w:w="108" w:type="dxa"/>
              <w:bottom w:w="57" w:type="dxa"/>
              <w:right w:w="108" w:type="dxa"/>
            </w:tcMar>
            <w:vAlign w:val="center"/>
          </w:tcPr>
          <w:p w14:paraId="1C1C3C3F">
            <w:pPr>
              <w:adjustRightInd w:val="0"/>
              <w:snapToGrid w:val="0"/>
              <w:jc w:val="left"/>
              <w:rPr>
                <w:rFonts w:hint="eastAsia" w:ascii="宋体" w:hAnsi="宋体" w:eastAsia="宋体" w:cs="宋体"/>
                <w:b/>
                <w:bCs/>
                <w:color w:val="000000"/>
                <w:kern w:val="0"/>
              </w:rPr>
            </w:pPr>
            <w:r>
              <w:rPr>
                <w:rFonts w:hint="eastAsia" w:ascii="楷体" w:hAnsi="楷体" w:eastAsia="楷体" w:cs="宋体"/>
                <w:color w:val="000000"/>
                <w:kern w:val="0"/>
              </w:rPr>
              <w:t>判断基准：</w:t>
            </w:r>
            <w:r>
              <w:rPr>
                <w:rFonts w:hint="eastAsia" w:ascii="宋体" w:hAnsi="宋体" w:eastAsia="宋体" w:cs="宋体"/>
                <w:color w:val="000000"/>
                <w:kern w:val="0"/>
              </w:rPr>
              <w:t>有吸引生源和提高生源质量的制度与措施；近三年连续新生报到率≥85%</w:t>
            </w:r>
          </w:p>
          <w:p w14:paraId="023FFF0D">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学校层面有关注提升生源质量的招生、在校生转专业、生源基地建设、招生经费管理等制度和举措</w:t>
            </w:r>
          </w:p>
          <w:p w14:paraId="6C28581B">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2023年、2024年、2025年新生报到率都达到≥85%</w:t>
            </w:r>
          </w:p>
        </w:tc>
        <w:tc>
          <w:tcPr>
            <w:tcW w:w="4684" w:type="dxa"/>
            <w:tcMar>
              <w:top w:w="57" w:type="dxa"/>
              <w:left w:w="108" w:type="dxa"/>
              <w:bottom w:w="57" w:type="dxa"/>
              <w:right w:w="108" w:type="dxa"/>
            </w:tcMar>
            <w:vAlign w:val="center"/>
          </w:tcPr>
          <w:p w14:paraId="62C90177">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判断依据：</w:t>
            </w:r>
            <w:r>
              <w:rPr>
                <w:rFonts w:hint="eastAsia" w:ascii="宋体" w:hAnsi="宋体" w:eastAsia="宋体" w:cs="宋体"/>
                <w:color w:val="000000"/>
                <w:kern w:val="0"/>
              </w:rPr>
              <w:t>吸引生源和提高生源质量的制度与措施，关联的制度完善轨迹和专业执行情况记录；近三年专业招生计划、招生计划完成率、新生来源、新生报到率等汇总和分析材料，学生与校友对专业认可度调研分析材料</w:t>
            </w:r>
          </w:p>
          <w:p w14:paraId="544A1429">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学校层面有吸引生源和提高生源质量相关条款的招生、在校生转专业、生源基地建设、招生经费管理等制度</w:t>
            </w:r>
          </w:p>
          <w:p w14:paraId="38F4523F">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2023年、2024年、2025年招生团队组建、表彰、生源基地学生进校研学名单、模具专业在校生转入名单等操作材料</w:t>
            </w:r>
          </w:p>
          <w:p w14:paraId="1003FD34">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2022-2023年、2023-2024年、2024-2025年专业招生计划、招生计划完成率、新生报到率、新生来源统计（报到率≥85%）</w:t>
            </w:r>
          </w:p>
          <w:p w14:paraId="04155DDB">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具象4：</w:t>
            </w:r>
            <w:r>
              <w:rPr>
                <w:rFonts w:hint="eastAsia" w:ascii="宋体" w:hAnsi="宋体" w:eastAsia="宋体" w:cs="宋体"/>
                <w:color w:val="000000"/>
                <w:kern w:val="0"/>
              </w:rPr>
              <w:t>2023年、2024年、2025年在校生专业认识调查报告（在校生对专业认可度）、用人单位调查报告（毕业生对专业认可度）</w:t>
            </w:r>
          </w:p>
        </w:tc>
      </w:tr>
      <w:tr w14:paraId="4AD0E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5" w:hRule="atLeast"/>
          <w:jc w:val="right"/>
        </w:trPr>
        <w:tc>
          <w:tcPr>
            <w:tcW w:w="2334" w:type="dxa"/>
            <w:gridSpan w:val="2"/>
            <w:tcMar>
              <w:top w:w="57" w:type="dxa"/>
              <w:left w:w="108" w:type="dxa"/>
              <w:bottom w:w="57" w:type="dxa"/>
              <w:right w:w="108" w:type="dxa"/>
            </w:tcMar>
            <w:vAlign w:val="center"/>
          </w:tcPr>
          <w:p w14:paraId="18269391">
            <w:pPr>
              <w:adjustRightInd w:val="0"/>
              <w:snapToGrid w:val="0"/>
              <w:ind w:firstLine="0" w:firstLineChars="0"/>
              <w:jc w:val="right"/>
              <w:rPr>
                <w:rFonts w:hint="eastAsia" w:ascii="楷体" w:hAnsi="楷体" w:eastAsia="楷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AF7E6B0">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3359AC94">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123E7DEA">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采信情况：材料均是原件可信</w:t>
            </w:r>
          </w:p>
          <w:p w14:paraId="02712CD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62E0F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4A501638">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7D714432">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1.2成长指导</w:t>
            </w:r>
          </w:p>
        </w:tc>
        <w:tc>
          <w:tcPr>
            <w:tcW w:w="2976" w:type="dxa"/>
            <w:tcMar>
              <w:top w:w="57" w:type="dxa"/>
              <w:left w:w="108" w:type="dxa"/>
              <w:bottom w:w="57" w:type="dxa"/>
              <w:right w:w="108" w:type="dxa"/>
            </w:tcMar>
            <w:vAlign w:val="center"/>
          </w:tcPr>
          <w:p w14:paraId="7D523AE8">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判断基准：</w:t>
            </w:r>
            <w:r>
              <w:rPr>
                <w:rFonts w:hint="eastAsia" w:ascii="宋体" w:hAnsi="宋体" w:eastAsia="宋体" w:cs="宋体"/>
                <w:color w:val="000000"/>
                <w:kern w:val="0"/>
              </w:rPr>
              <w:t>有完善的学生成长指导机制，包括但不限于思政教育、学习指导、职业规划指导、就业指导、生活指导、身心健康指导等机制与措施；毕业生就业率≥90%</w:t>
            </w:r>
          </w:p>
          <w:p w14:paraId="56AAC327">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学校层面有思政教育、学习指导、职业规划指导、就业指导、生活指导、身心健康指导等系列机制</w:t>
            </w:r>
          </w:p>
          <w:p w14:paraId="700D8628">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2023年、2024年、2025年模具专业就业率都≥90%</w:t>
            </w:r>
          </w:p>
        </w:tc>
        <w:tc>
          <w:tcPr>
            <w:tcW w:w="4684" w:type="dxa"/>
            <w:tcMar>
              <w:top w:w="57" w:type="dxa"/>
              <w:left w:w="108" w:type="dxa"/>
              <w:bottom w:w="57" w:type="dxa"/>
              <w:right w:w="108" w:type="dxa"/>
            </w:tcMar>
            <w:vAlign w:val="center"/>
          </w:tcPr>
          <w:p w14:paraId="51E0A850">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判断依据：</w:t>
            </w:r>
            <w:r>
              <w:rPr>
                <w:rFonts w:hint="eastAsia" w:ascii="宋体" w:hAnsi="宋体" w:eastAsia="宋体" w:cs="宋体"/>
                <w:color w:val="000000"/>
                <w:kern w:val="0"/>
              </w:rPr>
              <w:t>学生成长指导机制与措施汇总文本，专业执行情况记录、结果汇总与分析材料；近三年毕业生就业率汇总和分析材料</w:t>
            </w:r>
          </w:p>
          <w:p w14:paraId="32A5E19A">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学校的学生成长指导机制与措施汇总文本涉及班主任、辅导员、学业导师、一站式学生社区的制度，专题指导制度涉及安全、就业、心理健康等材料</w:t>
            </w:r>
          </w:p>
          <w:p w14:paraId="20CC90F0">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2023年、2024年、2025年毕业生离校就业统计表</w:t>
            </w:r>
          </w:p>
        </w:tc>
      </w:tr>
      <w:tr w14:paraId="241A7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6CAF5569">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D6C8393">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67005D9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1412623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采信情况：离校就业统计表非原件，表内数据出处不明，与现场查证找到原始数据后计算的就业率存在较小偏差，但≥90%</w:t>
            </w:r>
          </w:p>
          <w:p w14:paraId="204F7A7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1EF93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272BEBF4">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5B07C3B5">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1.3发展成果</w:t>
            </w:r>
          </w:p>
        </w:tc>
        <w:tc>
          <w:tcPr>
            <w:tcW w:w="2976" w:type="dxa"/>
            <w:tcMar>
              <w:top w:w="57" w:type="dxa"/>
              <w:left w:w="108" w:type="dxa"/>
              <w:bottom w:w="57" w:type="dxa"/>
              <w:right w:w="108" w:type="dxa"/>
            </w:tcMar>
            <w:vAlign w:val="center"/>
          </w:tcPr>
          <w:p w14:paraId="53EBEF50">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判断基准：</w:t>
            </w:r>
            <w:r>
              <w:rPr>
                <w:rFonts w:hint="eastAsia" w:ascii="宋体" w:hAnsi="宋体" w:eastAsia="宋体" w:cs="宋体"/>
                <w:color w:val="000000"/>
                <w:kern w:val="0"/>
              </w:rPr>
              <w:t>有过程性与结果性评价融合的学业评价机制、完善的学习成果认定及学分互换机制，并动态追踪学习表现，建立学业预警与反馈机制；专业毕业率宜在85%~95%</w:t>
            </w:r>
          </w:p>
          <w:p w14:paraId="1D48B3DF">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学校层面有学业证书管理办法规定学业评价机制；学分银行管理办法规定学习成果认定及学分互换机制；课程有明确的3种学业预警触发条件，智慧教务设有动态追踪功能</w:t>
            </w:r>
          </w:p>
          <w:p w14:paraId="09292365">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2023年、2024年、2025年模具专业毕业率都符合毕业率85%</w:t>
            </w:r>
            <w:r>
              <w:rPr>
                <w:rFonts w:ascii="Times New Roman" w:hAnsi="Times New Roman" w:eastAsia="宋体"/>
                <w:color w:val="000000"/>
                <w:kern w:val="0"/>
              </w:rPr>
              <w:t>~</w:t>
            </w:r>
            <w:r>
              <w:rPr>
                <w:rFonts w:hint="eastAsia" w:ascii="宋体" w:hAnsi="宋体" w:eastAsia="宋体" w:cs="宋体"/>
                <w:color w:val="000000"/>
                <w:kern w:val="0"/>
              </w:rPr>
              <w:t>95%</w:t>
            </w:r>
          </w:p>
        </w:tc>
        <w:tc>
          <w:tcPr>
            <w:tcW w:w="4684" w:type="dxa"/>
            <w:tcMar>
              <w:top w:w="57" w:type="dxa"/>
              <w:left w:w="108" w:type="dxa"/>
              <w:bottom w:w="57" w:type="dxa"/>
              <w:right w:w="108" w:type="dxa"/>
            </w:tcMar>
            <w:vAlign w:val="center"/>
          </w:tcPr>
          <w:p w14:paraId="0A3F81B5">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判断依据：</w:t>
            </w:r>
            <w:r>
              <w:rPr>
                <w:rFonts w:hint="eastAsia" w:ascii="宋体" w:hAnsi="宋体" w:eastAsia="宋体" w:cs="宋体"/>
                <w:color w:val="000000"/>
                <w:kern w:val="0"/>
              </w:rPr>
              <w:t>过程性与结果性评价融合的学业评价机制、学习成果认定及学分互换机制文本汇总材料，专业执行制度与完善制度情况记录；近三年及时向学生、教师、班主任、教学管理人员推送的学业预警记录，对学生（特别是学有困难学生）的学业跟踪评价、辅导和取得的成效记录；近三年专业毕业率汇总和分析材料</w:t>
            </w:r>
          </w:p>
          <w:p w14:paraId="415FB014">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学校层面的学业证书管理办法规定了学业过程管理机制，学分银行管理办法规定了学习成果认定与学分互换机制</w:t>
            </w:r>
          </w:p>
          <w:p w14:paraId="0EF2D95E">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2023年、2024年、2025年模具专业学生学分互换清单（公示版）</w:t>
            </w:r>
          </w:p>
          <w:p w14:paraId="1589A66B">
            <w:pPr>
              <w:adjustRightInd w:val="0"/>
              <w:snapToGrid w:val="0"/>
              <w:rPr>
                <w:rFonts w:hint="eastAsia" w:cs="宋体"/>
                <w:color w:val="000000"/>
                <w:kern w:val="0"/>
              </w:rPr>
            </w:pPr>
            <w:r>
              <w:rPr>
                <w:rFonts w:hint="eastAsia" w:ascii="楷体" w:hAnsi="楷体" w:eastAsia="楷体" w:cs="宋体"/>
                <w:color w:val="000000"/>
                <w:kern w:val="0"/>
              </w:rPr>
              <w:t>具象3：</w:t>
            </w:r>
            <w:r>
              <w:rPr>
                <w:rFonts w:hint="eastAsia" w:cs="宋体"/>
                <w:color w:val="000000"/>
                <w:kern w:val="0"/>
              </w:rPr>
              <w:t>2023年、2024年、2025年模具专业智慧教务平台上学业预警通知及帮扶记录汇总表</w:t>
            </w:r>
          </w:p>
          <w:p w14:paraId="5CC22458">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具象4：</w:t>
            </w:r>
            <w:r>
              <w:rPr>
                <w:rFonts w:hint="eastAsia" w:ascii="宋体" w:hAnsi="宋体" w:eastAsia="宋体" w:cs="宋体"/>
                <w:color w:val="000000"/>
                <w:kern w:val="0"/>
              </w:rPr>
              <w:t>2023年、2024年、2025年模具专业学生毕业率报表</w:t>
            </w:r>
          </w:p>
        </w:tc>
      </w:tr>
      <w:tr w14:paraId="02CBE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5AAAE9D0">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69D8ADB2">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388C7D6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00B395F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采信情况：毕业率统计表非原件，表内数据出处不明，与现场查证找到原始数据后计算的就业率存在较小偏差，但符合85%</w:t>
            </w:r>
            <w:r>
              <w:rPr>
                <w:rFonts w:ascii="Times New Roman" w:hAnsi="Times New Roman" w:eastAsia="楷体"/>
                <w:color w:val="000000"/>
                <w:kern w:val="0"/>
              </w:rPr>
              <w:t>~</w:t>
            </w:r>
            <w:r>
              <w:rPr>
                <w:rFonts w:hint="eastAsia" w:ascii="楷体" w:hAnsi="楷体" w:eastAsia="楷体" w:cs="宋体"/>
                <w:color w:val="000000"/>
                <w:kern w:val="0"/>
              </w:rPr>
              <w:t>95%</w:t>
            </w:r>
          </w:p>
          <w:p w14:paraId="048BD08A">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74FF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62AAE5BD">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2培养目标</w:t>
            </w:r>
          </w:p>
        </w:tc>
        <w:tc>
          <w:tcPr>
            <w:tcW w:w="1261" w:type="dxa"/>
            <w:tcMar>
              <w:top w:w="57" w:type="dxa"/>
              <w:left w:w="108" w:type="dxa"/>
              <w:bottom w:w="57" w:type="dxa"/>
              <w:right w:w="108" w:type="dxa"/>
            </w:tcMar>
            <w:vAlign w:val="center"/>
          </w:tcPr>
          <w:p w14:paraId="513C7142">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2.1目标定位</w:t>
            </w:r>
          </w:p>
        </w:tc>
        <w:tc>
          <w:tcPr>
            <w:tcW w:w="2976" w:type="dxa"/>
            <w:tcMar>
              <w:top w:w="57" w:type="dxa"/>
              <w:left w:w="108" w:type="dxa"/>
              <w:bottom w:w="57" w:type="dxa"/>
              <w:right w:w="108" w:type="dxa"/>
            </w:tcMar>
            <w:vAlign w:val="center"/>
          </w:tcPr>
          <w:p w14:paraId="16D1D815">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判断基准：</w:t>
            </w:r>
            <w:r>
              <w:rPr>
                <w:rFonts w:hint="eastAsia" w:ascii="宋体" w:hAnsi="宋体" w:eastAsia="宋体" w:cs="宋体"/>
                <w:color w:val="000000"/>
                <w:kern w:val="0"/>
              </w:rPr>
              <w:t>培养目标体现党的教育方针和立德树人根本任务，符合学校发展定位、适应区域经济社会发展对高素质技能型人才的需要和职业岗位要求；有专业人才培养方案的公开机制</w:t>
            </w:r>
          </w:p>
          <w:p w14:paraId="0B5B4EB6">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培养能够从事模具设计、模具制造、模具装配与调试、模具使用与维护工作的高素质技术技能人才</w:t>
            </w:r>
          </w:p>
          <w:p w14:paraId="48E74E9E">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2023年、2024年、2025年人才培养方案在学校官网发布</w:t>
            </w:r>
          </w:p>
        </w:tc>
        <w:tc>
          <w:tcPr>
            <w:tcW w:w="4684" w:type="dxa"/>
            <w:tcMar>
              <w:top w:w="57" w:type="dxa"/>
              <w:left w:w="108" w:type="dxa"/>
              <w:bottom w:w="57" w:type="dxa"/>
              <w:right w:w="108" w:type="dxa"/>
            </w:tcMar>
            <w:vAlign w:val="center"/>
          </w:tcPr>
          <w:p w14:paraId="6CBFED92">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判断依据：</w:t>
            </w:r>
            <w:r>
              <w:rPr>
                <w:rFonts w:hint="eastAsia" w:ascii="宋体" w:hAnsi="宋体" w:eastAsia="宋体" w:cs="宋体"/>
                <w:color w:val="000000"/>
                <w:kern w:val="0"/>
              </w:rPr>
              <w:t>国家、行业和企业、校友以及学校内部对专业培养目标的预期调研原始材料，专业调研分析报告；调研反馈信息在培养目标中的体现汇总材料，专业培养目标审核的过程材料；近三年专业人才培养方案的公开渠道和公开结果，向学生和教师宣贯的过程材料</w:t>
            </w:r>
          </w:p>
          <w:p w14:paraId="1A09E2A4">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2023年、2024年、2025年企业的调研记录及报告，校友调研记录及报告</w:t>
            </w:r>
          </w:p>
          <w:p w14:paraId="084876F0">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2023年、2024年、2025年人才培养方案编制说明（涉及培养目标修改依据说明）</w:t>
            </w:r>
          </w:p>
          <w:p w14:paraId="5F0781FE">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2023年、2024年、2025年全国职业院校专业设置管理与公共信息服务平台网络、校教务系统公开</w:t>
            </w:r>
          </w:p>
          <w:p w14:paraId="3E12DEF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具象4：</w:t>
            </w:r>
            <w:r>
              <w:rPr>
                <w:rFonts w:hint="eastAsia" w:ascii="宋体" w:hAnsi="宋体" w:eastAsia="宋体" w:cs="宋体"/>
                <w:color w:val="000000"/>
                <w:kern w:val="0"/>
              </w:rPr>
              <w:t>2023年、2024年、2025年向学生和教师宣贯材料</w:t>
            </w:r>
          </w:p>
        </w:tc>
      </w:tr>
      <w:tr w14:paraId="34861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0AADD4E1">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9CC67B9">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41B3EF9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2EFB1CFE">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采信情况：具象1，区域经济社会发展对本专业岗位要求不明确；具象2，该学校发展定位不具体，专业与学校发展定位是否适应不明；具象3，学生家长和社会人士无法查阅</w:t>
            </w:r>
          </w:p>
          <w:p w14:paraId="72940B65">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hint="eastAsia" w:ascii="楷体" w:hAnsi="楷体" w:eastAsia="楷体" w:cs="宋体"/>
                <w:color w:val="000000" w:themeColor="text1"/>
                <w:kern w:val="0"/>
                <w14:textFill>
                  <w14:solidFill>
                    <w14:schemeClr w14:val="tx1"/>
                  </w14:solidFill>
                </w14:textFill>
              </w:rPr>
              <w:t>B</w:t>
            </w:r>
          </w:p>
        </w:tc>
      </w:tr>
      <w:tr w14:paraId="07CF8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17BB2C5B">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02A1650C">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2.2目标修订</w:t>
            </w:r>
          </w:p>
        </w:tc>
        <w:tc>
          <w:tcPr>
            <w:tcW w:w="2976" w:type="dxa"/>
            <w:tcMar>
              <w:top w:w="57" w:type="dxa"/>
              <w:left w:w="108" w:type="dxa"/>
              <w:bottom w:w="57" w:type="dxa"/>
              <w:right w:w="108" w:type="dxa"/>
            </w:tcMar>
            <w:vAlign w:val="center"/>
          </w:tcPr>
          <w:p w14:paraId="04AE2380">
            <w:pPr>
              <w:adjustRightInd w:val="0"/>
              <w:snapToGrid w:val="0"/>
              <w:jc w:val="left"/>
              <w:rPr>
                <w:rFonts w:hint="eastAsia" w:ascii="宋体" w:hAnsi="宋体" w:eastAsia="宋体" w:cs="宋体"/>
                <w:color w:val="000000" w:themeColor="text1"/>
                <w:kern w:val="0"/>
                <w14:textFill>
                  <w14:solidFill>
                    <w14:schemeClr w14:val="tx1"/>
                  </w14:solidFill>
                </w14:textFill>
              </w:rPr>
            </w:pPr>
            <w:r>
              <w:rPr>
                <w:rFonts w:hint="eastAsia" w:ascii="楷体" w:hAnsi="楷体" w:eastAsia="楷体" w:cs="宋体"/>
                <w:color w:val="000000"/>
                <w:kern w:val="0"/>
              </w:rPr>
              <w:t>判断基准：</w:t>
            </w:r>
            <w:r>
              <w:rPr>
                <w:rFonts w:hint="eastAsia" w:ascii="宋体" w:hAnsi="宋体" w:eastAsia="宋体" w:cs="宋体"/>
                <w:color w:val="000000"/>
                <w:kern w:val="0"/>
              </w:rPr>
              <w:t>有专业人才培养方案修订机制，并定期评价培养目标的合理性，根据评价结果对培养目标进行修订、论证和审定；评价与修订过程有行业、企业专家和校友参与，并通过校级党组织审定</w:t>
            </w:r>
          </w:p>
          <w:p w14:paraId="2794AA70">
            <w:pPr>
              <w:adjustRightInd w:val="0"/>
              <w:snapToGrid w:val="0"/>
              <w:jc w:val="left"/>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具象1：</w:t>
            </w:r>
            <w:r>
              <w:rPr>
                <w:rFonts w:hint="eastAsia" w:ascii="宋体" w:hAnsi="宋体" w:eastAsia="宋体" w:cs="宋体"/>
                <w:color w:val="000000" w:themeColor="text1"/>
                <w:kern w:val="0"/>
                <w14:textFill>
                  <w14:solidFill>
                    <w14:schemeClr w14:val="tx1"/>
                  </w14:solidFill>
                </w14:textFill>
              </w:rPr>
              <w:t>学校层面发布各年度关于修（制）定专业人才培养方案的原则意见，本专业层面依据原则意见开展年度例行的修订、论证和审定</w:t>
            </w:r>
          </w:p>
          <w:p w14:paraId="0D5B595B">
            <w:pPr>
              <w:adjustRightInd w:val="0"/>
              <w:snapToGrid w:val="0"/>
              <w:jc w:val="left"/>
              <w:rPr>
                <w:rFonts w:hint="eastAsia" w:ascii="楷体" w:hAnsi="楷体" w:eastAsia="楷体" w:cs="宋体"/>
                <w:color w:val="000000"/>
                <w:kern w:val="0"/>
              </w:rPr>
            </w:pPr>
            <w:r>
              <w:rPr>
                <w:rFonts w:hint="eastAsia" w:ascii="楷体" w:hAnsi="楷体" w:eastAsia="楷体" w:cs="宋体"/>
                <w:color w:val="000000" w:themeColor="text1"/>
                <w:kern w:val="0"/>
                <w14:textFill>
                  <w14:solidFill>
                    <w14:schemeClr w14:val="tx1"/>
                  </w14:solidFill>
                </w14:textFill>
              </w:rPr>
              <w:t>具象2：</w:t>
            </w:r>
            <w:r>
              <w:rPr>
                <w:rFonts w:hint="eastAsia" w:cs="宋体"/>
                <w:color w:val="000000" w:themeColor="text1"/>
                <w:kern w:val="0"/>
                <w14:textFill>
                  <w14:solidFill>
                    <w14:schemeClr w14:val="tx1"/>
                  </w14:solidFill>
                </w14:textFill>
              </w:rPr>
              <w:t>本专业召开年度例行的有行业、企业专家和校友参与人才培养方案审定会</w:t>
            </w:r>
            <w:r>
              <w:rPr>
                <w:rFonts w:hint="eastAsia" w:ascii="宋体" w:hAnsi="宋体" w:eastAsia="宋体" w:cs="宋体"/>
                <w:color w:val="000000" w:themeColor="text1"/>
                <w:kern w:val="0"/>
                <w14:textFill>
                  <w14:solidFill>
                    <w14:schemeClr w14:val="tx1"/>
                  </w14:solidFill>
                </w14:textFill>
              </w:rPr>
              <w:t>，校级党组织会议审定</w:t>
            </w:r>
          </w:p>
        </w:tc>
        <w:tc>
          <w:tcPr>
            <w:tcW w:w="4684" w:type="dxa"/>
            <w:tcMar>
              <w:top w:w="57" w:type="dxa"/>
              <w:left w:w="108" w:type="dxa"/>
              <w:bottom w:w="57" w:type="dxa"/>
              <w:right w:w="108" w:type="dxa"/>
            </w:tcMar>
            <w:vAlign w:val="center"/>
          </w:tcPr>
          <w:p w14:paraId="047FB804">
            <w:pPr>
              <w:adjustRightInd w:val="0"/>
              <w:snapToGrid w:val="0"/>
              <w:rPr>
                <w:rFonts w:hint="eastAsia"/>
              </w:rPr>
            </w:pPr>
            <w:r>
              <w:rPr>
                <w:rFonts w:hint="eastAsia" w:ascii="楷体" w:hAnsi="楷体" w:eastAsia="楷体" w:cs="宋体"/>
                <w:color w:val="000000"/>
                <w:kern w:val="0"/>
              </w:rPr>
              <w:t>判断依据：</w:t>
            </w:r>
            <w:r>
              <w:rPr>
                <w:rFonts w:hint="eastAsia"/>
              </w:rPr>
              <w:t>专业人才培养方案的修订机制文本和执行情况记录；定期开展的培养目标合理性评价活动的原始材料，评价结果应用于专业培养目标修订的汇总材料；行业企业、教研机构、校内外一线教师和学生代表等参加的论证会、校级党组织会议审定等过程性材料</w:t>
            </w:r>
          </w:p>
          <w:p w14:paraId="32C312E9">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具象1同2.1判断依据之具象2：</w:t>
            </w:r>
            <w:r>
              <w:rPr>
                <w:rFonts w:hint="eastAsia" w:ascii="宋体" w:hAnsi="宋体" w:eastAsia="宋体" w:cs="宋体"/>
                <w:color w:val="000000"/>
                <w:kern w:val="0"/>
              </w:rPr>
              <w:t>2023年、2024年、2025年本专业人才培养方案编制说明（涉及修订意见汇总表）</w:t>
            </w:r>
          </w:p>
          <w:p w14:paraId="00B93F3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2023年、2024年、2025年本专业人才培养方案论证会纪要及附件（行业企业、教研机构、校内外一线教师和学生代表等参加）</w:t>
            </w:r>
          </w:p>
          <w:p w14:paraId="5DBBC709">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校级党组织会议审定本专业2023年、2024年、2025年人才培养方案的会议记录</w:t>
            </w:r>
          </w:p>
        </w:tc>
      </w:tr>
      <w:tr w14:paraId="15623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4026EE43">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308F4E7E">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符合。但</w:t>
            </w:r>
            <w:r>
              <w:rPr>
                <w:rFonts w:hint="eastAsia" w:ascii="楷体" w:hAnsi="楷体" w:eastAsia="楷体" w:cs="宋体"/>
                <w:color w:val="000000" w:themeColor="text1"/>
                <w:kern w:val="0"/>
                <w14:textFill>
                  <w14:solidFill>
                    <w14:schemeClr w14:val="tx1"/>
                  </w14:solidFill>
                </w14:textFill>
              </w:rPr>
              <w:t>判断基准中不包括判断依据中的校级党组织会议审定的要求，建议修改标准文本</w:t>
            </w:r>
          </w:p>
        </w:tc>
        <w:tc>
          <w:tcPr>
            <w:tcW w:w="4684" w:type="dxa"/>
            <w:tcMar>
              <w:top w:w="57" w:type="dxa"/>
              <w:left w:w="108" w:type="dxa"/>
              <w:bottom w:w="57" w:type="dxa"/>
              <w:right w:w="108" w:type="dxa"/>
            </w:tcMar>
            <w:vAlign w:val="center"/>
          </w:tcPr>
          <w:p w14:paraId="04C2FC9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475FCA0C">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采信情况：具象3现场查到了校党委审定全校专业人才培养方案的会议记录，故采信</w:t>
            </w:r>
          </w:p>
          <w:p w14:paraId="40D70EDE">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36316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733F742F">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3毕业要求</w:t>
            </w:r>
          </w:p>
        </w:tc>
        <w:tc>
          <w:tcPr>
            <w:tcW w:w="1261" w:type="dxa"/>
            <w:tcMar>
              <w:top w:w="57" w:type="dxa"/>
              <w:left w:w="108" w:type="dxa"/>
              <w:bottom w:w="57" w:type="dxa"/>
              <w:right w:w="108" w:type="dxa"/>
            </w:tcMar>
            <w:vAlign w:val="center"/>
          </w:tcPr>
          <w:p w14:paraId="64591EA4">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3.1总体要求</w:t>
            </w:r>
          </w:p>
        </w:tc>
        <w:tc>
          <w:tcPr>
            <w:tcW w:w="2976" w:type="dxa"/>
            <w:tcMar>
              <w:top w:w="57" w:type="dxa"/>
              <w:left w:w="108" w:type="dxa"/>
              <w:bottom w:w="57" w:type="dxa"/>
              <w:right w:w="108" w:type="dxa"/>
            </w:tcMar>
            <w:vAlign w:val="center"/>
          </w:tcPr>
          <w:p w14:paraId="49F96540">
            <w:pPr>
              <w:adjustRightInd w:val="0"/>
              <w:snapToGrid w:val="0"/>
              <w:jc w:val="left"/>
              <w:rPr>
                <w:rFonts w:ascii="Times New Roman" w:hAnsi="Times New Roman" w:eastAsia="宋体"/>
                <w:color w:val="000000"/>
                <w:kern w:val="0"/>
              </w:rPr>
            </w:pPr>
            <w:r>
              <w:rPr>
                <w:rFonts w:hint="eastAsia" w:ascii="楷体" w:hAnsi="楷体" w:eastAsia="楷体"/>
                <w:color w:val="000000"/>
                <w:kern w:val="0"/>
              </w:rPr>
              <w:t>判断基准：</w:t>
            </w:r>
            <w:r>
              <w:rPr>
                <w:rFonts w:hint="eastAsia" w:ascii="Times New Roman" w:hAnsi="Times New Roman" w:eastAsia="宋体"/>
                <w:color w:val="000000"/>
                <w:kern w:val="0"/>
              </w:rPr>
              <w:t>有明确、公开、可衡量的专业毕业要求，并建立定期修订机制；毕业要求能支撑培养目标的达成，并覆盖本表格中3.2~3.9的二级指标</w:t>
            </w:r>
          </w:p>
          <w:p w14:paraId="7FAE22C3">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本专业人才培养方案设立了毕业要求具体条款（覆盖了本表格</w:t>
            </w:r>
            <w:r>
              <w:rPr>
                <w:rFonts w:ascii="Times New Roman" w:hAnsi="Times New Roman" w:eastAsia="宋体"/>
                <w:color w:val="000000"/>
                <w:kern w:val="0"/>
              </w:rPr>
              <w:t>3.2~3.9</w:t>
            </w:r>
            <w:r>
              <w:rPr>
                <w:rFonts w:hint="eastAsia" w:ascii="宋体" w:hAnsi="宋体" w:eastAsia="宋体" w:cs="宋体"/>
                <w:color w:val="000000"/>
                <w:kern w:val="0"/>
              </w:rPr>
              <w:t>），</w:t>
            </w:r>
          </w:p>
          <w:p w14:paraId="56787CDD">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在人才培养方案编制说明中专门说明毕业要求与培养目标关系，通过年度企业调研得到毕业要求达成度分析结论，通过年度人才培养方案评审会修订毕业要求</w:t>
            </w:r>
          </w:p>
          <w:p w14:paraId="675B0505">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通过教研活动全体专业教师学习新修订的本专业毕业要求，通过专业认识课程向学生宣贯本专业新修订的毕业要求</w:t>
            </w:r>
          </w:p>
        </w:tc>
        <w:tc>
          <w:tcPr>
            <w:tcW w:w="4684" w:type="dxa"/>
            <w:tcMar>
              <w:top w:w="57" w:type="dxa"/>
              <w:left w:w="108" w:type="dxa"/>
              <w:bottom w:w="57" w:type="dxa"/>
              <w:right w:w="108" w:type="dxa"/>
            </w:tcMar>
            <w:vAlign w:val="center"/>
          </w:tcPr>
          <w:p w14:paraId="29DC8FBF">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教师研讨与学生了解毕业要求的活动材料，明确记载专业毕业要求公开的材料；近三年专业毕业要求达成情况评价及分析材料，毕业要求修订记录；描述和记载毕业要求与培养目标的支撑与对接关系的文本材料，毕业要求覆盖本表格3.2~3.9的二级指标的审核材料</w:t>
            </w:r>
          </w:p>
          <w:p w14:paraId="0D8360B1">
            <w:pPr>
              <w:adjustRightInd w:val="0"/>
              <w:snapToGrid w:val="0"/>
              <w:rPr>
                <w:rFonts w:ascii="Times New Roman" w:hAnsi="Times New Roman" w:eastAsia="宋体"/>
                <w:color w:val="000000"/>
                <w:kern w:val="0"/>
              </w:rPr>
            </w:pPr>
            <w:r>
              <w:rPr>
                <w:rFonts w:hint="eastAsia" w:ascii="楷体" w:hAnsi="楷体" w:eastAsia="楷体"/>
                <w:color w:val="000000"/>
                <w:kern w:val="0"/>
              </w:rPr>
              <w:t>具象1：</w:t>
            </w:r>
            <w:r>
              <w:rPr>
                <w:rFonts w:hint="eastAsia" w:ascii="宋体" w:hAnsi="宋体" w:eastAsia="宋体" w:cs="宋体"/>
                <w:color w:val="000000"/>
                <w:kern w:val="0"/>
              </w:rPr>
              <w:t>2023年、2024年、2025年</w:t>
            </w:r>
            <w:r>
              <w:rPr>
                <w:rFonts w:hint="eastAsia" w:ascii="Times New Roman" w:hAnsi="Times New Roman" w:eastAsia="宋体"/>
                <w:color w:val="000000"/>
                <w:kern w:val="0"/>
              </w:rPr>
              <w:t>专业教师教研活动研讨毕业要求记录，专业认识课程宣贯毕业要求的教学日志</w:t>
            </w:r>
          </w:p>
          <w:p w14:paraId="042112AA">
            <w:pPr>
              <w:adjustRightInd w:val="0"/>
              <w:snapToGrid w:val="0"/>
              <w:rPr>
                <w:rFonts w:hint="eastAsia" w:ascii="宋体" w:hAnsi="宋体" w:eastAsia="宋体" w:cs="宋体"/>
                <w:color w:val="000000"/>
                <w:kern w:val="0"/>
              </w:rPr>
            </w:pPr>
            <w:r>
              <w:rPr>
                <w:rFonts w:hint="eastAsia" w:ascii="楷体" w:hAnsi="楷体" w:eastAsia="楷体"/>
                <w:color w:val="000000"/>
                <w:kern w:val="0"/>
              </w:rPr>
              <w:t>具象2：</w:t>
            </w:r>
            <w:r>
              <w:rPr>
                <w:rFonts w:hint="eastAsia" w:ascii="宋体" w:hAnsi="宋体" w:eastAsia="宋体" w:cs="宋体"/>
                <w:color w:val="000000"/>
                <w:kern w:val="0"/>
              </w:rPr>
              <w:t>2023年、2024年、2025年本专业人才培养方案审定修订毕业要求的记录，本专业人才培养方案及编制说明（涉及毕业要求）文本</w:t>
            </w:r>
          </w:p>
          <w:p w14:paraId="03D5A541">
            <w:pPr>
              <w:adjustRightInd w:val="0"/>
              <w:snapToGrid w:val="0"/>
              <w:rPr>
                <w:rFonts w:hint="eastAsia" w:ascii="楷体" w:hAnsi="楷体" w:eastAsia="楷体" w:cs="宋体"/>
                <w:color w:val="000000"/>
                <w:kern w:val="0"/>
              </w:rPr>
            </w:pPr>
            <w:r>
              <w:rPr>
                <w:rFonts w:hint="eastAsia" w:ascii="楷体" w:hAnsi="楷体" w:eastAsia="楷体"/>
                <w:color w:val="000000"/>
                <w:kern w:val="0"/>
              </w:rPr>
              <w:t>具象3：</w:t>
            </w:r>
            <w:r>
              <w:rPr>
                <w:rFonts w:hint="eastAsia" w:ascii="宋体" w:hAnsi="宋体" w:eastAsia="宋体" w:cs="宋体"/>
                <w:color w:val="000000"/>
                <w:kern w:val="0"/>
              </w:rPr>
              <w:t>2023年、2024年、2025年企业调研报告（毕业要求达成度分析结论：达成但提出了新建议）</w:t>
            </w:r>
          </w:p>
        </w:tc>
      </w:tr>
      <w:tr w14:paraId="7951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20A9713A">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F697F1C">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2D3E222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43AFEE0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采信情况：现场查阅到了具象1</w:t>
            </w:r>
            <w:r>
              <w:rPr>
                <w:rFonts w:hint="eastAsia" w:ascii="楷体" w:hAnsi="楷体" w:eastAsia="楷体" w:cs="宋体"/>
                <w:kern w:val="0"/>
              </w:rPr>
              <w:t>—</w:t>
            </w:r>
            <w:r>
              <w:rPr>
                <w:rFonts w:hint="eastAsia" w:ascii="楷体" w:hAnsi="楷体" w:eastAsia="楷体" w:cs="宋体"/>
                <w:color w:val="000000"/>
                <w:kern w:val="0"/>
              </w:rPr>
              <w:t>具象3的原始文件，采信</w:t>
            </w:r>
          </w:p>
          <w:p w14:paraId="4F4A8809">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6A9B3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4AD231AE">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7CC8BAF2">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3.2知识领域</w:t>
            </w:r>
          </w:p>
        </w:tc>
        <w:tc>
          <w:tcPr>
            <w:tcW w:w="2976" w:type="dxa"/>
            <w:tcMar>
              <w:top w:w="57" w:type="dxa"/>
              <w:left w:w="108" w:type="dxa"/>
              <w:bottom w:w="57" w:type="dxa"/>
              <w:right w:w="108" w:type="dxa"/>
            </w:tcMar>
            <w:vAlign w:val="center"/>
          </w:tcPr>
          <w:p w14:paraId="3BB8D4D8">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能将公共基础知识、专业知识用于解决生产现场技术与产品问题</w:t>
            </w:r>
          </w:p>
          <w:p w14:paraId="3CCA30EB">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本专业定义的生产现场技术问题是冷冲压模具和塑料注塑模具的零件制造、模具装配的工艺问题；制成的模具及模具产出的冲压件和塑料件是本专业生产现场的产品</w:t>
            </w:r>
          </w:p>
          <w:p w14:paraId="33C38808">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开设的与解决生产现场技术与产品问题的公共基础知识（主要涉及应用数学</w:t>
            </w:r>
            <w:r>
              <w:rPr>
                <w:rFonts w:ascii="宋体" w:hAnsi="宋体" w:eastAsia="宋体" w:cs="宋体"/>
                <w:color w:val="000000"/>
                <w:kern w:val="0"/>
              </w:rPr>
              <w:t>A</w:t>
            </w:r>
            <w:r>
              <w:rPr>
                <w:rFonts w:hint="eastAsia" w:ascii="宋体" w:hAnsi="宋体" w:eastAsia="宋体" w:cs="宋体"/>
                <w:color w:val="000000"/>
                <w:kern w:val="0"/>
              </w:rPr>
              <w:t>、物理基础及应用、信息技术与人工智能基础，专业知识主要涉及机械制造工艺、模具制造工艺、数控编程与</w:t>
            </w:r>
            <w:r>
              <w:rPr>
                <w:rFonts w:ascii="宋体" w:hAnsi="宋体" w:eastAsia="宋体" w:cs="宋体"/>
                <w:color w:val="000000"/>
                <w:kern w:val="0"/>
              </w:rPr>
              <w:t>CAM技术</w:t>
            </w:r>
            <w:r>
              <w:rPr>
                <w:rFonts w:hint="eastAsia" w:ascii="宋体" w:hAnsi="宋体" w:eastAsia="宋体" w:cs="宋体"/>
                <w:color w:val="000000"/>
                <w:kern w:val="0"/>
              </w:rPr>
              <w:t>等课程）</w:t>
            </w:r>
          </w:p>
        </w:tc>
        <w:tc>
          <w:tcPr>
            <w:tcW w:w="4684" w:type="dxa"/>
            <w:tcMar>
              <w:top w:w="57" w:type="dxa"/>
              <w:left w:w="108" w:type="dxa"/>
              <w:bottom w:w="57" w:type="dxa"/>
              <w:right w:w="108" w:type="dxa"/>
            </w:tcMar>
            <w:vAlign w:val="center"/>
          </w:tcPr>
          <w:p w14:paraId="6F465A85">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专业课程中融合公共基础知识、专业知识解决生产现场技术与产品问题的教学项目或案例汇总材料；学生运用公共基础知识、专业知识解决生产现场技术与产品问题的学习成果汇总与分析材料</w:t>
            </w:r>
          </w:p>
          <w:p w14:paraId="790B8252">
            <w:pPr>
              <w:adjustRightInd w:val="0"/>
              <w:snapToGrid w:val="0"/>
              <w:rPr>
                <w:rFonts w:hint="eastAsia" w:ascii="宋体" w:hAnsi="宋体" w:eastAsia="宋体" w:cs="宋体"/>
                <w:color w:val="EE0000"/>
                <w:kern w:val="0"/>
              </w:rPr>
            </w:pPr>
            <w:r>
              <w:rPr>
                <w:rFonts w:hint="eastAsia" w:ascii="楷体" w:hAnsi="楷体" w:eastAsia="楷体"/>
                <w:color w:val="000000"/>
                <w:kern w:val="0"/>
              </w:rPr>
              <w:t>具象1：</w:t>
            </w:r>
            <w:r>
              <w:rPr>
                <w:rFonts w:hint="eastAsia" w:ascii="宋体" w:hAnsi="宋体" w:eastAsia="宋体" w:cs="宋体"/>
                <w:color w:val="000000"/>
                <w:kern w:val="0"/>
              </w:rPr>
              <w:t>2023年、2024年、2025年解决本专业生产现场技术与产品问题的教学项目案例及实施课程汇总</w:t>
            </w:r>
            <w:r>
              <w:rPr>
                <w:rFonts w:hint="eastAsia" w:ascii="Times New Roman" w:hAnsi="Times New Roman" w:eastAsia="宋体"/>
                <w:color w:val="000000"/>
                <w:kern w:val="0"/>
              </w:rPr>
              <w:t>表（智</w:t>
            </w:r>
            <w:r>
              <w:rPr>
                <w:rFonts w:hint="eastAsia" w:ascii="宋体" w:hAnsi="宋体" w:eastAsia="宋体" w:cs="宋体"/>
                <w:color w:val="000000" w:themeColor="text1"/>
                <w:kern w:val="0"/>
                <w14:textFill>
                  <w14:solidFill>
                    <w14:schemeClr w14:val="tx1"/>
                  </w14:solidFill>
                </w14:textFill>
              </w:rPr>
              <w:t>慧教务相关课程的教学日志）</w:t>
            </w:r>
          </w:p>
          <w:p w14:paraId="4993741B">
            <w:pPr>
              <w:adjustRightInd w:val="0"/>
              <w:snapToGrid w:val="0"/>
              <w:rPr>
                <w:rFonts w:ascii="Times New Roman" w:hAnsi="Times New Roman" w:eastAsia="宋体"/>
                <w:color w:val="000000"/>
                <w:kern w:val="0"/>
              </w:rPr>
            </w:pPr>
            <w:r>
              <w:rPr>
                <w:rFonts w:hint="eastAsia" w:ascii="楷体" w:hAnsi="楷体" w:eastAsia="楷体"/>
                <w:color w:val="000000"/>
                <w:kern w:val="0"/>
              </w:rPr>
              <w:t>具象2：</w:t>
            </w:r>
            <w:r>
              <w:rPr>
                <w:rFonts w:hint="eastAsia" w:ascii="Times New Roman" w:hAnsi="Times New Roman" w:eastAsia="宋体"/>
                <w:color w:val="000000"/>
                <w:kern w:val="0"/>
              </w:rPr>
              <w:t>机械制造工艺课程学生编制的模具结构零件（固定板、垫板等）和工艺文件（机械学院教学归档材料）</w:t>
            </w:r>
          </w:p>
          <w:p w14:paraId="38DA1470">
            <w:pPr>
              <w:adjustRightInd w:val="0"/>
              <w:snapToGrid w:val="0"/>
              <w:rPr>
                <w:rFonts w:hint="eastAsia" w:ascii="宋体" w:hAnsi="宋体" w:eastAsia="宋体" w:cs="宋体"/>
                <w:color w:val="EE0000"/>
                <w:kern w:val="0"/>
                <w:highlight w:val="yellow"/>
              </w:rPr>
            </w:pPr>
            <w:r>
              <w:rPr>
                <w:rFonts w:hint="eastAsia" w:ascii="楷体" w:hAnsi="楷体" w:eastAsia="楷体"/>
                <w:color w:val="000000"/>
                <w:kern w:val="0"/>
              </w:rPr>
              <w:t>具象</w:t>
            </w:r>
            <w:r>
              <w:rPr>
                <w:rFonts w:ascii="楷体" w:hAnsi="楷体" w:eastAsia="楷体"/>
                <w:color w:val="000000"/>
                <w:kern w:val="0"/>
              </w:rPr>
              <w:t>3</w:t>
            </w:r>
            <w:r>
              <w:rPr>
                <w:rFonts w:hint="eastAsia" w:ascii="楷体" w:hAnsi="楷体" w:eastAsia="楷体"/>
                <w:color w:val="000000"/>
                <w:kern w:val="0"/>
              </w:rPr>
              <w:t>：</w:t>
            </w:r>
            <w:r>
              <w:rPr>
                <w:rFonts w:hint="eastAsia" w:ascii="Times New Roman" w:hAnsi="Times New Roman" w:eastAsia="宋体"/>
                <w:color w:val="000000"/>
                <w:kern w:val="0"/>
              </w:rPr>
              <w:t>模具制造工艺课程学生编制的模具成型零件（凸模、凹模等）的工艺文件（机械学院教学归档材料）</w:t>
            </w:r>
          </w:p>
          <w:p w14:paraId="214EE45B">
            <w:pPr>
              <w:adjustRightInd w:val="0"/>
              <w:snapToGrid w:val="0"/>
              <w:rPr>
                <w:rFonts w:hint="eastAsia" w:ascii="楷体" w:hAnsi="楷体" w:eastAsia="楷体" w:cs="宋体"/>
                <w:color w:val="000000"/>
                <w:kern w:val="0"/>
              </w:rPr>
            </w:pPr>
            <w:r>
              <w:rPr>
                <w:rFonts w:hint="eastAsia" w:ascii="楷体" w:hAnsi="楷体" w:eastAsia="楷体"/>
                <w:color w:val="000000"/>
                <w:kern w:val="0"/>
              </w:rPr>
              <w:t>具象</w:t>
            </w:r>
            <w:r>
              <w:rPr>
                <w:rFonts w:ascii="楷体" w:hAnsi="楷体" w:eastAsia="楷体"/>
                <w:color w:val="000000"/>
                <w:kern w:val="0"/>
              </w:rPr>
              <w:t>4</w:t>
            </w:r>
            <w:r>
              <w:rPr>
                <w:rFonts w:hint="eastAsia" w:ascii="楷体" w:hAnsi="楷体" w:eastAsia="楷体"/>
                <w:color w:val="000000"/>
                <w:kern w:val="0"/>
              </w:rPr>
              <w:t>：</w:t>
            </w:r>
            <w:r>
              <w:rPr>
                <w:rFonts w:hint="eastAsia" w:ascii="Times New Roman" w:hAnsi="Times New Roman" w:eastAsia="宋体"/>
                <w:color w:val="000000"/>
                <w:kern w:val="0"/>
              </w:rPr>
              <w:t>数控编程与</w:t>
            </w:r>
            <w:r>
              <w:rPr>
                <w:rFonts w:ascii="Times New Roman" w:hAnsi="Times New Roman" w:eastAsia="宋体"/>
                <w:color w:val="000000"/>
                <w:kern w:val="0"/>
              </w:rPr>
              <w:t>CAM技术</w:t>
            </w:r>
            <w:r>
              <w:rPr>
                <w:rFonts w:hint="eastAsia" w:ascii="Times New Roman" w:hAnsi="Times New Roman" w:eastAsia="宋体"/>
                <w:color w:val="000000"/>
                <w:kern w:val="0"/>
              </w:rPr>
              <w:t>课程学生编写的模具零件数控加工工艺和数控加工程序（机械学院教学归档材料）</w:t>
            </w:r>
          </w:p>
        </w:tc>
      </w:tr>
      <w:tr w14:paraId="5046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60B8390A">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6711E5C">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0CA66E37">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67DEEFB2">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采信情况：现场查阅到了教学项目案例及实施课程汇总表涉及课程的教学日志，符合</w:t>
            </w:r>
            <w:r>
              <w:rPr>
                <w:rFonts w:hint="eastAsia" w:ascii="楷体" w:hAnsi="楷体" w:eastAsia="楷体" w:cs="宋体"/>
                <w:kern w:val="0"/>
              </w:rPr>
              <w:t>具象1—具象3</w:t>
            </w:r>
            <w:r>
              <w:rPr>
                <w:rFonts w:hint="eastAsia" w:ascii="楷体" w:hAnsi="楷体" w:eastAsia="楷体" w:cs="宋体"/>
                <w:color w:val="000000"/>
                <w:kern w:val="0"/>
              </w:rPr>
              <w:t>的描述，采信</w:t>
            </w:r>
          </w:p>
          <w:p w14:paraId="6E9E76F3">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0467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2E949F44">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16AEC2AE">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3.3工具使用</w:t>
            </w:r>
          </w:p>
        </w:tc>
        <w:tc>
          <w:tcPr>
            <w:tcW w:w="2976" w:type="dxa"/>
            <w:tcMar>
              <w:top w:w="57" w:type="dxa"/>
              <w:left w:w="108" w:type="dxa"/>
              <w:bottom w:w="57" w:type="dxa"/>
              <w:right w:w="108" w:type="dxa"/>
            </w:tcMar>
            <w:vAlign w:val="center"/>
          </w:tcPr>
          <w:p w14:paraId="496F51EC">
            <w:pPr>
              <w:adjustRightInd w:val="0"/>
              <w:snapToGrid w:val="0"/>
              <w:jc w:val="left"/>
              <w:rPr>
                <w:rFonts w:hint="eastAsia"/>
              </w:rPr>
            </w:pPr>
            <w:r>
              <w:rPr>
                <w:rFonts w:hint="eastAsia" w:ascii="楷体" w:hAnsi="楷体" w:eastAsia="楷体" w:cs="宋体"/>
                <w:color w:val="000000"/>
                <w:kern w:val="0"/>
              </w:rPr>
              <w:t>判断基准：</w:t>
            </w:r>
            <w:r>
              <w:rPr>
                <w:rFonts w:hint="eastAsia" w:ascii="宋体" w:hAnsi="宋体" w:eastAsia="宋体"/>
              </w:rPr>
              <w:t>能选择与使用恰当的工具解决生产现场技术与产品问题</w:t>
            </w:r>
          </w:p>
          <w:p w14:paraId="4EA693DD">
            <w:pPr>
              <w:adjustRightInd w:val="0"/>
              <w:snapToGrid w:val="0"/>
              <w:jc w:val="left"/>
              <w:rPr>
                <w:rFonts w:hint="eastAsia"/>
              </w:rPr>
            </w:pPr>
            <w:r>
              <w:rPr>
                <w:rFonts w:hint="eastAsia" w:ascii="楷体" w:hAnsi="楷体" w:eastAsia="楷体"/>
              </w:rPr>
              <w:t>具象1：</w:t>
            </w:r>
            <w:r>
              <w:rPr>
                <w:rFonts w:hint="eastAsia" w:ascii="宋体" w:hAnsi="宋体" w:eastAsia="宋体"/>
              </w:rPr>
              <w:t>模具 CAD/CAM 技术课程使用UG NX软件解决了模具零件的加工程序编制问题</w:t>
            </w:r>
          </w:p>
          <w:p w14:paraId="678369E9">
            <w:pPr>
              <w:adjustRightInd w:val="0"/>
              <w:snapToGrid w:val="0"/>
              <w:jc w:val="left"/>
              <w:rPr>
                <w:rFonts w:hint="eastAsia" w:ascii="宋体" w:hAnsi="宋体" w:eastAsia="宋体"/>
              </w:rPr>
            </w:pPr>
            <w:r>
              <w:rPr>
                <w:rFonts w:hint="eastAsia" w:ascii="楷体" w:hAnsi="楷体" w:eastAsia="楷体"/>
              </w:rPr>
              <w:t>具象2：</w:t>
            </w:r>
            <w:r>
              <w:rPr>
                <w:rFonts w:hint="eastAsia" w:ascii="宋体" w:hAnsi="宋体" w:eastAsia="宋体"/>
              </w:rPr>
              <w:t>模具制造工艺课程使用各式机床解决了模具零件加工工艺编制问题</w:t>
            </w:r>
          </w:p>
          <w:p w14:paraId="37830DAD">
            <w:pPr>
              <w:adjustRightInd w:val="0"/>
              <w:snapToGrid w:val="0"/>
              <w:jc w:val="left"/>
              <w:rPr>
                <w:rFonts w:hint="eastAsia" w:ascii="宋体" w:hAnsi="宋体" w:eastAsia="宋体"/>
              </w:rPr>
            </w:pPr>
            <w:r>
              <w:rPr>
                <w:rFonts w:hint="eastAsia" w:ascii="楷体" w:hAnsi="楷体" w:eastAsia="楷体" w:cs="宋体"/>
                <w:color w:val="000000"/>
                <w:kern w:val="0"/>
              </w:rPr>
              <w:t>具象3：</w:t>
            </w:r>
            <w:r>
              <w:rPr>
                <w:rFonts w:hint="eastAsia" w:ascii="宋体" w:hAnsi="宋体" w:eastAsia="宋体"/>
              </w:rPr>
              <w:t>模具</w:t>
            </w:r>
            <w:r>
              <w:rPr>
                <w:rFonts w:ascii="宋体" w:hAnsi="宋体" w:eastAsia="宋体"/>
              </w:rPr>
              <w:t>CAE分析</w:t>
            </w:r>
            <w:r>
              <w:rPr>
                <w:rFonts w:hint="eastAsia" w:ascii="宋体" w:hAnsi="宋体" w:eastAsia="宋体"/>
              </w:rPr>
              <w:t>课程使用</w:t>
            </w:r>
            <w:r>
              <w:rPr>
                <w:rFonts w:ascii="宋体" w:hAnsi="宋体" w:eastAsia="宋体"/>
              </w:rPr>
              <w:t>仿真</w:t>
            </w:r>
            <w:r>
              <w:rPr>
                <w:rFonts w:hint="eastAsia" w:ascii="宋体" w:hAnsi="宋体" w:eastAsia="宋体"/>
              </w:rPr>
              <w:t>软件分析冲压件或塑件产品工艺缺陷</w:t>
            </w:r>
          </w:p>
          <w:p w14:paraId="39B06D41">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w:t>
            </w:r>
            <w:r>
              <w:rPr>
                <w:rFonts w:ascii="楷体" w:hAnsi="楷体" w:eastAsia="楷体" w:cs="宋体"/>
                <w:color w:val="000000"/>
                <w:kern w:val="0"/>
              </w:rPr>
              <w:t>4</w:t>
            </w:r>
            <w:r>
              <w:rPr>
                <w:rFonts w:hint="eastAsia" w:ascii="楷体" w:hAnsi="楷体" w:eastAsia="楷体" w:cs="宋体"/>
                <w:color w:val="000000"/>
                <w:kern w:val="0"/>
              </w:rPr>
              <w:t>：</w:t>
            </w:r>
            <w:r>
              <w:rPr>
                <w:rFonts w:hint="eastAsia" w:ascii="宋体" w:hAnsi="宋体" w:eastAsia="宋体"/>
              </w:rPr>
              <w:t>数控铣床操作实训课程使用数控铣床加工零件</w:t>
            </w:r>
          </w:p>
          <w:p w14:paraId="405C346C">
            <w:pPr>
              <w:adjustRightInd w:val="0"/>
              <w:snapToGrid w:val="0"/>
              <w:jc w:val="left"/>
              <w:rPr>
                <w:rFonts w:hint="eastAsia" w:ascii="宋体" w:hAnsi="宋体" w:eastAsia="宋体"/>
              </w:rPr>
            </w:pPr>
            <w:r>
              <w:rPr>
                <w:rFonts w:hint="eastAsia" w:ascii="楷体" w:hAnsi="楷体" w:eastAsia="楷体"/>
              </w:rPr>
              <w:t>具象5：</w:t>
            </w:r>
            <w:r>
              <w:rPr>
                <w:rFonts w:hint="eastAsia" w:ascii="宋体" w:hAnsi="宋体" w:eastAsia="宋体"/>
              </w:rPr>
              <w:t>钳工实训课程使用</w:t>
            </w:r>
            <w:r>
              <w:rPr>
                <w:rFonts w:ascii="宋体" w:hAnsi="宋体" w:eastAsia="宋体"/>
              </w:rPr>
              <w:t>锯、锉、钻孔、攻丝</w:t>
            </w:r>
            <w:r>
              <w:rPr>
                <w:rFonts w:hint="eastAsia" w:ascii="宋体" w:hAnsi="宋体" w:eastAsia="宋体"/>
              </w:rPr>
              <w:t>等工具学习模具装配工艺</w:t>
            </w:r>
          </w:p>
          <w:p w14:paraId="2C53FCF6">
            <w:pPr>
              <w:adjustRightInd w:val="0"/>
              <w:snapToGrid w:val="0"/>
              <w:jc w:val="left"/>
              <w:rPr>
                <w:rFonts w:hint="eastAsia" w:ascii="楷体" w:hAnsi="楷体" w:eastAsia="楷体" w:cs="宋体"/>
                <w:color w:val="000000"/>
                <w:kern w:val="0"/>
              </w:rPr>
            </w:pPr>
            <w:r>
              <w:rPr>
                <w:rFonts w:hint="eastAsia" w:ascii="楷体" w:hAnsi="楷体" w:eastAsia="楷体"/>
              </w:rPr>
              <w:t>具象6：</w:t>
            </w:r>
            <w:r>
              <w:rPr>
                <w:rFonts w:hint="eastAsia" w:ascii="宋体" w:hAnsi="宋体" w:eastAsia="宋体"/>
              </w:rPr>
              <w:t>电加工实训课程使用电火花成型和线切割机床学习模具淬火件加工工艺</w:t>
            </w:r>
          </w:p>
        </w:tc>
        <w:tc>
          <w:tcPr>
            <w:tcW w:w="4684" w:type="dxa"/>
            <w:tcMar>
              <w:top w:w="57" w:type="dxa"/>
              <w:left w:w="108" w:type="dxa"/>
              <w:bottom w:w="57" w:type="dxa"/>
              <w:right w:w="108" w:type="dxa"/>
            </w:tcMar>
            <w:vAlign w:val="center"/>
          </w:tcPr>
          <w:p w14:paraId="2D1C2829">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使用工具解决生产现场技术与产品问题的教学项目或案例的汇总材料；学生选择与使用工具解决生产现场技术与产品问题的学习成果汇总与分析材料</w:t>
            </w:r>
          </w:p>
          <w:p w14:paraId="2C3D689D">
            <w:pPr>
              <w:adjustRightInd w:val="0"/>
              <w:snapToGrid w:val="0"/>
              <w:rPr>
                <w:rFonts w:hint="eastAsia" w:ascii="楷体" w:hAnsi="楷体" w:eastAsia="楷体"/>
              </w:rPr>
            </w:pPr>
            <w:r>
              <w:rPr>
                <w:rFonts w:hint="eastAsia" w:ascii="楷体" w:hAnsi="楷体" w:eastAsia="楷体"/>
                <w:color w:val="000000"/>
                <w:kern w:val="0"/>
              </w:rPr>
              <w:t>具象1：</w:t>
            </w:r>
            <w:r>
              <w:rPr>
                <w:rFonts w:hint="eastAsia" w:ascii="宋体" w:hAnsi="宋体" w:eastAsia="宋体"/>
                <w:color w:val="000000"/>
                <w:kern w:val="0"/>
              </w:rPr>
              <w:t>（同</w:t>
            </w:r>
            <w:r>
              <w:rPr>
                <w:rFonts w:hint="eastAsia" w:ascii="宋体" w:hAnsi="宋体" w:eastAsia="宋体"/>
              </w:rPr>
              <w:t>3.2知识领域判断依据之具象4）</w:t>
            </w:r>
          </w:p>
          <w:p w14:paraId="4AE31FF5">
            <w:pPr>
              <w:adjustRightInd w:val="0"/>
              <w:snapToGrid w:val="0"/>
              <w:rPr>
                <w:rFonts w:hint="eastAsia" w:ascii="楷体" w:hAnsi="楷体" w:eastAsia="楷体"/>
              </w:rPr>
            </w:pPr>
            <w:r>
              <w:rPr>
                <w:rFonts w:hint="eastAsia" w:ascii="楷体" w:hAnsi="楷体" w:eastAsia="楷体"/>
                <w:color w:val="000000"/>
                <w:kern w:val="0"/>
              </w:rPr>
              <w:t>具象2：</w:t>
            </w:r>
            <w:r>
              <w:rPr>
                <w:rFonts w:hint="eastAsia" w:ascii="宋体" w:hAnsi="宋体" w:eastAsia="宋体"/>
                <w:color w:val="000000"/>
                <w:kern w:val="0"/>
              </w:rPr>
              <w:t>（同</w:t>
            </w:r>
            <w:r>
              <w:rPr>
                <w:rFonts w:hint="eastAsia" w:ascii="宋体" w:hAnsi="宋体" w:eastAsia="宋体"/>
              </w:rPr>
              <w:t>3.2知识领域判断依据之具象3）</w:t>
            </w:r>
          </w:p>
          <w:p w14:paraId="064DDA71">
            <w:pPr>
              <w:adjustRightInd w:val="0"/>
              <w:snapToGrid w:val="0"/>
              <w:rPr>
                <w:rFonts w:hint="eastAsia" w:ascii="宋体" w:hAnsi="宋体" w:eastAsia="宋体"/>
              </w:rPr>
            </w:pPr>
            <w:r>
              <w:rPr>
                <w:rFonts w:hint="eastAsia" w:ascii="楷体" w:hAnsi="楷体" w:eastAsia="楷体" w:cs="宋体"/>
                <w:color w:val="000000"/>
                <w:kern w:val="0"/>
              </w:rPr>
              <w:t>具象3：</w:t>
            </w:r>
            <w:r>
              <w:rPr>
                <w:rFonts w:hint="eastAsia" w:ascii="宋体" w:hAnsi="宋体" w:eastAsia="宋体"/>
              </w:rPr>
              <w:t>模具</w:t>
            </w:r>
            <w:r>
              <w:rPr>
                <w:rFonts w:ascii="宋体" w:hAnsi="宋体" w:eastAsia="宋体"/>
              </w:rPr>
              <w:t>CAE分析</w:t>
            </w:r>
            <w:r>
              <w:rPr>
                <w:rFonts w:hint="eastAsia" w:ascii="宋体" w:hAnsi="宋体" w:eastAsia="宋体"/>
              </w:rPr>
              <w:t>课程学生提交的冲压件、塑压件的CAE分析（机械学院教学归档材料）</w:t>
            </w:r>
          </w:p>
          <w:p w14:paraId="73C1CBC2">
            <w:pPr>
              <w:adjustRightInd w:val="0"/>
              <w:snapToGrid w:val="0"/>
              <w:rPr>
                <w:rFonts w:hint="eastAsia" w:ascii="宋体" w:hAnsi="宋体" w:eastAsia="宋体"/>
                <w:color w:val="000000"/>
                <w:kern w:val="0"/>
              </w:rPr>
            </w:pPr>
            <w:r>
              <w:rPr>
                <w:rFonts w:hint="eastAsia" w:ascii="楷体" w:hAnsi="楷体" w:eastAsia="楷体" w:cs="宋体"/>
                <w:color w:val="000000"/>
                <w:kern w:val="0"/>
              </w:rPr>
              <w:t>具象4：</w:t>
            </w:r>
            <w:r>
              <w:rPr>
                <w:rFonts w:hint="eastAsia" w:ascii="宋体" w:hAnsi="宋体" w:eastAsia="宋体"/>
                <w:color w:val="000000"/>
                <w:kern w:val="0"/>
              </w:rPr>
              <w:t>机械学院保留的部分学生加工的数控铣零件实物及对应评分表</w:t>
            </w:r>
          </w:p>
          <w:p w14:paraId="6CB2BFD8">
            <w:pPr>
              <w:adjustRightInd w:val="0"/>
              <w:snapToGrid w:val="0"/>
              <w:rPr>
                <w:rFonts w:hint="eastAsia" w:ascii="宋体" w:hAnsi="宋体" w:eastAsia="宋体"/>
              </w:rPr>
            </w:pPr>
            <w:r>
              <w:rPr>
                <w:rFonts w:hint="eastAsia" w:ascii="楷体" w:hAnsi="楷体" w:eastAsia="楷体"/>
              </w:rPr>
              <w:t>具象5：</w:t>
            </w:r>
            <w:r>
              <w:rPr>
                <w:rFonts w:hint="eastAsia" w:ascii="宋体" w:hAnsi="宋体" w:eastAsia="宋体"/>
              </w:rPr>
              <w:t>机械学院保留的部分学生钳工制作实物及对应的评分表</w:t>
            </w:r>
          </w:p>
          <w:p w14:paraId="2076B0BD">
            <w:pPr>
              <w:adjustRightInd w:val="0"/>
              <w:snapToGrid w:val="0"/>
              <w:rPr>
                <w:rFonts w:hint="eastAsia" w:ascii="楷体" w:hAnsi="楷体" w:eastAsia="楷体" w:cs="宋体"/>
                <w:color w:val="000000"/>
                <w:kern w:val="0"/>
              </w:rPr>
            </w:pPr>
            <w:r>
              <w:rPr>
                <w:rFonts w:hint="eastAsia" w:ascii="楷体" w:hAnsi="楷体" w:eastAsia="楷体"/>
              </w:rPr>
              <w:t>具象6：</w:t>
            </w:r>
            <w:r>
              <w:rPr>
                <w:rFonts w:hint="eastAsia" w:ascii="宋体" w:hAnsi="宋体" w:eastAsia="宋体"/>
              </w:rPr>
              <w:t>机械学院保留的部分学生完成的电加工零件及对应的评分表</w:t>
            </w:r>
          </w:p>
        </w:tc>
      </w:tr>
      <w:tr w14:paraId="190BE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013BFD81">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75790006">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3E02CEEE">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0CC9634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采信情况：现场查阅到了教学项目案例及实施课程汇总表涉及课程的教学日志，</w:t>
            </w:r>
            <w:r>
              <w:rPr>
                <w:rFonts w:hint="eastAsia" w:ascii="楷体" w:hAnsi="楷体" w:eastAsia="楷体" w:cs="宋体"/>
                <w:kern w:val="0"/>
              </w:rPr>
              <w:t>符合具象1—具象6</w:t>
            </w:r>
            <w:r>
              <w:rPr>
                <w:rFonts w:hint="eastAsia" w:ascii="楷体" w:hAnsi="楷体" w:eastAsia="楷体" w:cs="宋体"/>
                <w:color w:val="000000"/>
                <w:kern w:val="0"/>
              </w:rPr>
              <w:t>的描述，采信</w:t>
            </w:r>
          </w:p>
          <w:p w14:paraId="24F2FE2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4D2DC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79E4BF6F">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5790F6D7">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3.4技能掌握</w:t>
            </w:r>
          </w:p>
        </w:tc>
        <w:tc>
          <w:tcPr>
            <w:tcW w:w="2976" w:type="dxa"/>
            <w:tcMar>
              <w:top w:w="57" w:type="dxa"/>
              <w:left w:w="108" w:type="dxa"/>
              <w:bottom w:w="57" w:type="dxa"/>
              <w:right w:w="108" w:type="dxa"/>
            </w:tcMar>
            <w:vAlign w:val="center"/>
          </w:tcPr>
          <w:p w14:paraId="6F5A7723">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具备本专业领域岗位群的基础性技能，并具有至少一项与本专业紧密关联的技能</w:t>
            </w:r>
          </w:p>
          <w:p w14:paraId="7C995C2B">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基础性技能钳工，通过钳工实训课程训练28学时</w:t>
            </w:r>
          </w:p>
          <w:p w14:paraId="2271D18A">
            <w:pPr>
              <w:adjustRightInd w:val="0"/>
              <w:snapToGrid w:val="0"/>
              <w:jc w:val="left"/>
              <w:rPr>
                <w:rFonts w:hint="eastAsia" w:ascii="宋体" w:hAnsi="宋体" w:eastAsia="宋体"/>
              </w:rPr>
            </w:pPr>
            <w:r>
              <w:rPr>
                <w:rFonts w:hint="eastAsia" w:ascii="楷体" w:hAnsi="楷体" w:eastAsia="楷体"/>
              </w:rPr>
              <w:t>具象2：</w:t>
            </w:r>
            <w:r>
              <w:rPr>
                <w:rFonts w:hint="eastAsia" w:ascii="宋体" w:hAnsi="宋体" w:eastAsia="宋体"/>
              </w:rPr>
              <w:t>基础性技能检测，通过</w:t>
            </w:r>
            <w:r>
              <w:rPr>
                <w:rFonts w:ascii="宋体" w:hAnsi="宋体" w:eastAsia="宋体"/>
              </w:rPr>
              <w:t>几何量精密测量专用周</w:t>
            </w:r>
            <w:r>
              <w:rPr>
                <w:rFonts w:hint="eastAsia" w:ascii="宋体" w:hAnsi="宋体" w:eastAsia="宋体"/>
              </w:rPr>
              <w:t>课程训练2</w:t>
            </w:r>
            <w:r>
              <w:rPr>
                <w:rFonts w:ascii="宋体" w:hAnsi="宋体" w:eastAsia="宋体"/>
              </w:rPr>
              <w:t>8</w:t>
            </w:r>
            <w:r>
              <w:rPr>
                <w:rFonts w:hint="eastAsia" w:ascii="宋体" w:hAnsi="宋体" w:eastAsia="宋体"/>
              </w:rPr>
              <w:t>学时</w:t>
            </w:r>
          </w:p>
          <w:p w14:paraId="03804E9D">
            <w:pPr>
              <w:adjustRightInd w:val="0"/>
              <w:snapToGrid w:val="0"/>
              <w:jc w:val="left"/>
              <w:rPr>
                <w:rFonts w:hint="eastAsia" w:ascii="楷体" w:hAnsi="楷体" w:eastAsia="楷体" w:cs="宋体"/>
                <w:color w:val="000000"/>
                <w:kern w:val="0"/>
              </w:rPr>
            </w:pPr>
            <w:r>
              <w:rPr>
                <w:rFonts w:hint="eastAsia" w:ascii="楷体" w:hAnsi="楷体" w:eastAsia="楷体"/>
              </w:rPr>
              <w:t>具象3：</w:t>
            </w:r>
            <w:r>
              <w:rPr>
                <w:rFonts w:hint="eastAsia" w:ascii="宋体" w:hAnsi="宋体" w:eastAsia="宋体"/>
              </w:rPr>
              <w:t>从电切削工中级、数控铣工中级等考证项目中获得1项证书</w:t>
            </w:r>
          </w:p>
        </w:tc>
        <w:tc>
          <w:tcPr>
            <w:tcW w:w="4684" w:type="dxa"/>
            <w:tcMar>
              <w:top w:w="57" w:type="dxa"/>
              <w:left w:w="108" w:type="dxa"/>
              <w:bottom w:w="57" w:type="dxa"/>
              <w:right w:w="108" w:type="dxa"/>
            </w:tcMar>
            <w:vAlign w:val="center"/>
          </w:tcPr>
          <w:p w14:paraId="6C548857">
            <w:pPr>
              <w:adjustRightInd w:val="0"/>
              <w:snapToGrid w:val="0"/>
              <w:rPr>
                <w:rFonts w:ascii="Times New Roman" w:hAnsi="Times New Roman" w:eastAsia="宋体"/>
                <w:color w:val="EE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专业课程中基础性技能训练的项目、案例和学习成果的汇总材料；学生获得的与本专业紧密关联的专业技能证书汇总材料；学生技能的现场测试材料</w:t>
            </w:r>
          </w:p>
          <w:p w14:paraId="01FF715D">
            <w:pPr>
              <w:adjustRightInd w:val="0"/>
              <w:snapToGrid w:val="0"/>
              <w:rPr>
                <w:rFonts w:hint="eastAsia" w:ascii="楷体" w:hAnsi="楷体" w:eastAsia="楷体"/>
                <w:color w:val="000000"/>
                <w:kern w:val="0"/>
              </w:rPr>
            </w:pPr>
            <w:r>
              <w:rPr>
                <w:rFonts w:hint="eastAsia" w:ascii="楷体" w:hAnsi="楷体" w:eastAsia="楷体"/>
                <w:color w:val="000000"/>
                <w:kern w:val="0"/>
              </w:rPr>
              <w:t>具象1：</w:t>
            </w:r>
            <w:r>
              <w:rPr>
                <w:rFonts w:hint="eastAsia" w:ascii="宋体" w:hAnsi="宋体" w:eastAsia="宋体"/>
                <w:color w:val="000000"/>
                <w:kern w:val="0"/>
              </w:rPr>
              <w:t>（同</w:t>
            </w:r>
            <w:r>
              <w:rPr>
                <w:rFonts w:hint="eastAsia" w:ascii="宋体" w:hAnsi="宋体" w:eastAsia="宋体"/>
              </w:rPr>
              <w:t>3.3工具使用判断依据之具象5</w:t>
            </w:r>
            <w:r>
              <w:rPr>
                <w:rFonts w:hint="eastAsia" w:ascii="宋体" w:hAnsi="宋体" w:eastAsia="宋体"/>
                <w:color w:val="000000"/>
                <w:kern w:val="0"/>
              </w:rPr>
              <w:t>）</w:t>
            </w:r>
          </w:p>
          <w:p w14:paraId="3FACA4B9">
            <w:pPr>
              <w:adjustRightInd w:val="0"/>
              <w:snapToGrid w:val="0"/>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2023年、2024年、2025年电切削工中级、数控铣工中级模具专业学生获证报表（学校计培部报表）</w:t>
            </w:r>
          </w:p>
          <w:p w14:paraId="5D381FEE">
            <w:pPr>
              <w:adjustRightInd w:val="0"/>
              <w:snapToGrid w:val="0"/>
              <w:rPr>
                <w:rFonts w:hint="eastAsia" w:ascii="楷体" w:hAnsi="楷体" w:eastAsia="楷体" w:cs="宋体"/>
                <w:color w:val="000000"/>
                <w:kern w:val="0"/>
              </w:rPr>
            </w:pPr>
            <w:r>
              <w:rPr>
                <w:rFonts w:hint="eastAsia" w:ascii="楷体" w:hAnsi="楷体" w:eastAsia="楷体"/>
                <w:color w:val="000000"/>
                <w:kern w:val="0"/>
              </w:rPr>
              <w:t>具象3：</w:t>
            </w:r>
            <w:r>
              <w:rPr>
                <w:rFonts w:hint="eastAsia" w:ascii="宋体" w:hAnsi="宋体" w:eastAsia="宋体"/>
                <w:color w:val="000000"/>
                <w:kern w:val="0"/>
              </w:rPr>
              <w:t>专家进校抽测12位学生测试数控铣工中级技能的实际通过率</w:t>
            </w:r>
          </w:p>
        </w:tc>
      </w:tr>
      <w:tr w14:paraId="04A95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71043DFA">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ACA9801">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593645B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121C5D49">
            <w:pPr>
              <w:adjustRightInd w:val="0"/>
              <w:snapToGrid w:val="0"/>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kern w:val="0"/>
              </w:rPr>
              <w:t>采信情况：现场查阅到了教学项目案例及实施课程汇总表涉及课程的教学日志，符合</w:t>
            </w:r>
            <w:r>
              <w:rPr>
                <w:rFonts w:hint="eastAsia" w:ascii="楷体" w:hAnsi="楷体" w:eastAsia="楷体" w:cs="宋体"/>
                <w:kern w:val="0"/>
              </w:rPr>
              <w:t>具象1、具象2</w:t>
            </w:r>
            <w:r>
              <w:rPr>
                <w:rFonts w:hint="eastAsia" w:ascii="楷体" w:hAnsi="楷体" w:eastAsia="楷体" w:cs="宋体"/>
                <w:color w:val="000000"/>
                <w:kern w:val="0"/>
              </w:rPr>
              <w:t>的描述，采信。现场抽测已获数控铣中级证书的学生12名，11名通过测试，通过</w:t>
            </w:r>
            <w:r>
              <w:rPr>
                <w:rFonts w:hint="eastAsia" w:ascii="楷体" w:hAnsi="楷体" w:eastAsia="楷体" w:cs="宋体"/>
                <w:color w:val="000000" w:themeColor="text1"/>
                <w:kern w:val="0"/>
                <w14:textFill>
                  <w14:solidFill>
                    <w14:schemeClr w14:val="tx1"/>
                  </w14:solidFill>
                </w14:textFill>
              </w:rPr>
              <w:t>率91.3%</w:t>
            </w:r>
          </w:p>
          <w:p w14:paraId="65338605">
            <w:pPr>
              <w:adjustRightInd w:val="0"/>
              <w:snapToGrid w:val="0"/>
              <w:rPr>
                <w:rFonts w:hint="eastAsia" w:ascii="楷体" w:hAnsi="楷体" w:eastAsia="楷体" w:cs="宋体"/>
                <w:color w:val="000000"/>
                <w:kern w:val="0"/>
              </w:rPr>
            </w:pPr>
            <w:r>
              <w:rPr>
                <w:rFonts w:hint="eastAsia" w:ascii="楷体" w:hAnsi="楷体" w:eastAsia="楷体" w:cs="宋体"/>
                <w:color w:val="000000" w:themeColor="text1"/>
                <w:kern w:val="0"/>
                <w14:textFill>
                  <w14:solidFill>
                    <w14:schemeClr w14:val="tx1"/>
                  </w14:solidFill>
                </w14:textFill>
              </w:rPr>
              <w:t>查证结果：A</w:t>
            </w:r>
          </w:p>
        </w:tc>
      </w:tr>
      <w:tr w14:paraId="4AC0A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6FCC8B91">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1513384F">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3.5问题解决</w:t>
            </w:r>
          </w:p>
        </w:tc>
        <w:tc>
          <w:tcPr>
            <w:tcW w:w="2976" w:type="dxa"/>
            <w:tcMar>
              <w:top w:w="57" w:type="dxa"/>
              <w:left w:w="108" w:type="dxa"/>
              <w:bottom w:w="57" w:type="dxa"/>
              <w:right w:w="108" w:type="dxa"/>
            </w:tcMar>
            <w:vAlign w:val="center"/>
          </w:tcPr>
          <w:p w14:paraId="1D63E147">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能综合运用课程学习中所习得的知识、技能和创新能力，解决生产现场技术与产品问题</w:t>
            </w:r>
          </w:p>
          <w:p w14:paraId="1BC62B93">
            <w:pPr>
              <w:adjustRightInd w:val="0"/>
              <w:snapToGrid w:val="0"/>
              <w:jc w:val="left"/>
              <w:rPr>
                <w:rFonts w:hint="eastAsia" w:ascii="楷体" w:hAnsi="楷体" w:eastAsia="楷体"/>
              </w:rPr>
            </w:pPr>
            <w:r>
              <w:rPr>
                <w:rFonts w:hint="eastAsia" w:ascii="楷体" w:hAnsi="楷体" w:eastAsia="楷体"/>
              </w:rPr>
              <w:t>具象1：</w:t>
            </w:r>
            <w:r>
              <w:rPr>
                <w:rFonts w:ascii="宋体" w:hAnsi="宋体" w:eastAsia="宋体"/>
              </w:rPr>
              <w:t>模具设计与制造专业毕业设计</w:t>
            </w:r>
            <w:r>
              <w:rPr>
                <w:rFonts w:hint="eastAsia" w:ascii="宋体" w:hAnsi="宋体" w:eastAsia="宋体"/>
              </w:rPr>
              <w:t>课程综合解决模具设计、制造、装配和编程问题</w:t>
            </w:r>
          </w:p>
          <w:p w14:paraId="1C826485">
            <w:pPr>
              <w:adjustRightInd w:val="0"/>
              <w:snapToGrid w:val="0"/>
              <w:jc w:val="left"/>
              <w:rPr>
                <w:rFonts w:hint="eastAsia" w:ascii="楷体" w:hAnsi="楷体" w:eastAsia="楷体" w:cs="宋体"/>
                <w:color w:val="000000"/>
                <w:kern w:val="0"/>
              </w:rPr>
            </w:pPr>
            <w:r>
              <w:rPr>
                <w:rFonts w:hint="eastAsia" w:ascii="楷体" w:hAnsi="楷体" w:eastAsia="楷体"/>
              </w:rPr>
              <w:t>具象2：</w:t>
            </w:r>
            <w:r>
              <w:rPr>
                <w:rFonts w:ascii="宋体" w:hAnsi="宋体" w:eastAsia="宋体"/>
              </w:rPr>
              <w:t>创新综合训练—模具CAD/CAM</w:t>
            </w:r>
            <w:r>
              <w:rPr>
                <w:rFonts w:hint="eastAsia" w:ascii="宋体" w:hAnsi="宋体" w:eastAsia="宋体"/>
              </w:rPr>
              <w:t>课程运用N</w:t>
            </w:r>
            <w:r>
              <w:rPr>
                <w:rFonts w:ascii="宋体" w:hAnsi="宋体" w:eastAsia="宋体"/>
              </w:rPr>
              <w:t>X</w:t>
            </w:r>
            <w:r>
              <w:rPr>
                <w:rFonts w:hint="eastAsia" w:ascii="宋体" w:hAnsi="宋体" w:eastAsia="宋体"/>
              </w:rPr>
              <w:t>完成一副完整模具设计、装配设计图，编制关键零件加工程序</w:t>
            </w:r>
          </w:p>
        </w:tc>
        <w:tc>
          <w:tcPr>
            <w:tcW w:w="4684" w:type="dxa"/>
            <w:tcMar>
              <w:top w:w="57" w:type="dxa"/>
              <w:left w:w="108" w:type="dxa"/>
              <w:bottom w:w="57" w:type="dxa"/>
              <w:right w:w="108" w:type="dxa"/>
            </w:tcMar>
            <w:vAlign w:val="center"/>
          </w:tcPr>
          <w:p w14:paraId="51570C0C">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调研收集需解决的生产现场技术与产品问题的综合性项目或案例汇总材料，以及相应的综合性教学项目或案例汇总材料；通过综合性项目或案例教学，学生习得的问题分析方法、解决方案设计、实施过程操作等方面取得的学习成果汇总分析材料</w:t>
            </w:r>
          </w:p>
          <w:p w14:paraId="1375F803">
            <w:pPr>
              <w:adjustRightInd w:val="0"/>
              <w:snapToGrid w:val="0"/>
              <w:rPr>
                <w:rFonts w:hint="eastAsia" w:ascii="楷体" w:hAnsi="楷体" w:eastAsia="楷体"/>
                <w:kern w:val="0"/>
              </w:rPr>
            </w:pPr>
            <w:r>
              <w:rPr>
                <w:rFonts w:hint="eastAsia" w:ascii="楷体" w:hAnsi="楷体" w:eastAsia="楷体"/>
                <w:kern w:val="0"/>
              </w:rPr>
              <w:t>具象1：</w:t>
            </w:r>
            <w:r>
              <w:rPr>
                <w:rFonts w:hint="eastAsia" w:ascii="宋体" w:hAnsi="宋体" w:eastAsia="宋体"/>
                <w:kern w:val="0"/>
              </w:rPr>
              <w:t>2023年、2024年、2025年学生毕业设计成果材料（机械学院教学归档资料）</w:t>
            </w:r>
          </w:p>
          <w:p w14:paraId="2FB841CA">
            <w:pPr>
              <w:adjustRightInd w:val="0"/>
              <w:snapToGrid w:val="0"/>
              <w:rPr>
                <w:rFonts w:hint="eastAsia" w:ascii="楷体" w:hAnsi="楷体" w:eastAsia="楷体" w:cs="宋体"/>
                <w:color w:val="000000"/>
                <w:kern w:val="0"/>
              </w:rPr>
            </w:pPr>
            <w:r>
              <w:rPr>
                <w:rFonts w:hint="eastAsia" w:ascii="楷体" w:hAnsi="楷体" w:eastAsia="楷体"/>
                <w:kern w:val="0"/>
              </w:rPr>
              <w:t>具象2：</w:t>
            </w:r>
            <w:r>
              <w:rPr>
                <w:rFonts w:hint="eastAsia" w:ascii="宋体" w:hAnsi="宋体" w:eastAsia="宋体"/>
                <w:kern w:val="0"/>
              </w:rPr>
              <w:t>2023年、2024年、2025年学生模具CAD/CAM课程成果材料（机械学院教学归档资料）</w:t>
            </w:r>
          </w:p>
        </w:tc>
      </w:tr>
      <w:tr w14:paraId="3C7E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5CB18305">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20FC3527">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068FE6F3">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599B9A38">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采信情况：现场查阅到</w:t>
            </w:r>
            <w:r>
              <w:rPr>
                <w:rFonts w:hint="eastAsia" w:ascii="楷体" w:hAnsi="楷体" w:eastAsia="楷体" w:cs="宋体"/>
                <w:kern w:val="0"/>
              </w:rPr>
              <w:t>具象1—具象3</w:t>
            </w:r>
            <w:r>
              <w:rPr>
                <w:rFonts w:hint="eastAsia" w:ascii="楷体" w:hAnsi="楷体" w:eastAsia="楷体" w:cs="宋体"/>
                <w:color w:val="000000"/>
                <w:kern w:val="0"/>
              </w:rPr>
              <w:t>的原始教学过程及学生成果材料，采信</w:t>
            </w:r>
          </w:p>
          <w:p w14:paraId="41783B0C">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7E096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4CB80EEC">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4C2151EB">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3.6社会责任</w:t>
            </w:r>
          </w:p>
        </w:tc>
        <w:tc>
          <w:tcPr>
            <w:tcW w:w="2976" w:type="dxa"/>
            <w:tcMar>
              <w:top w:w="57" w:type="dxa"/>
              <w:left w:w="108" w:type="dxa"/>
              <w:bottom w:w="57" w:type="dxa"/>
              <w:right w:w="108" w:type="dxa"/>
            </w:tcMar>
            <w:vAlign w:val="center"/>
          </w:tcPr>
          <w:p w14:paraId="35508A93">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能自觉践行社会主义核心价值观，基于专业相关背景分析和评价专业活动对安全生产、绿色环保、法律法规以及行业文化的影响，并理解应承担的责任</w:t>
            </w:r>
          </w:p>
          <w:p w14:paraId="6DE0F9F3">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cs="宋体"/>
                <w:kern w:val="0"/>
              </w:rPr>
              <w:t>毛泽东思想和</w:t>
            </w:r>
            <w:r>
              <w:rPr>
                <w:rFonts w:ascii="宋体" w:hAnsi="宋体" w:eastAsia="宋体" w:cs="宋体"/>
                <w:kern w:val="0"/>
              </w:rPr>
              <w:t>中国</w:t>
            </w:r>
            <w:r>
              <w:rPr>
                <w:rFonts w:hint="eastAsia" w:ascii="宋体" w:hAnsi="宋体" w:eastAsia="宋体" w:cs="宋体"/>
                <w:kern w:val="0"/>
              </w:rPr>
              <w:t>特色</w:t>
            </w:r>
            <w:r>
              <w:rPr>
                <w:rFonts w:ascii="宋体" w:hAnsi="宋体" w:eastAsia="宋体" w:cs="宋体"/>
                <w:kern w:val="0"/>
              </w:rPr>
              <w:t>社会主</w:t>
            </w:r>
            <w:r>
              <w:rPr>
                <w:rFonts w:hint="eastAsia" w:ascii="宋体" w:hAnsi="宋体" w:eastAsia="宋体" w:cs="宋体"/>
                <w:kern w:val="0"/>
              </w:rPr>
              <w:t>义</w:t>
            </w:r>
            <w:r>
              <w:rPr>
                <w:rFonts w:ascii="宋体" w:hAnsi="宋体" w:eastAsia="宋体" w:cs="宋体"/>
                <w:kern w:val="0"/>
              </w:rPr>
              <w:t>理论体系概论</w:t>
            </w:r>
            <w:r>
              <w:rPr>
                <w:rFonts w:hint="eastAsia" w:ascii="宋体" w:hAnsi="宋体" w:eastAsia="宋体" w:cs="宋体"/>
                <w:kern w:val="0"/>
              </w:rPr>
              <w:t>课程成为培养社会主义核心价值主阵地</w:t>
            </w:r>
          </w:p>
          <w:p w14:paraId="6AE1C33B">
            <w:pPr>
              <w:adjustRightInd w:val="0"/>
              <w:snapToGrid w:val="0"/>
              <w:jc w:val="left"/>
              <w:rPr>
                <w:rFonts w:hint="eastAsia" w:ascii="楷体" w:hAnsi="楷体" w:eastAsia="楷体"/>
              </w:rPr>
            </w:pPr>
            <w:r>
              <w:rPr>
                <w:rFonts w:hint="eastAsia" w:ascii="楷体" w:hAnsi="楷体" w:eastAsia="楷体"/>
              </w:rPr>
              <w:t>具象2：</w:t>
            </w:r>
            <w:r>
              <w:rPr>
                <w:rFonts w:hint="eastAsia" w:ascii="宋体" w:hAnsi="宋体" w:eastAsia="宋体" w:cs="宋体"/>
                <w:kern w:val="0"/>
              </w:rPr>
              <w:t>思想道德与法治课程主业是法律法规意识培养主阵地</w:t>
            </w:r>
          </w:p>
          <w:p w14:paraId="720B9442">
            <w:pPr>
              <w:adjustRightInd w:val="0"/>
              <w:snapToGrid w:val="0"/>
              <w:jc w:val="left"/>
              <w:rPr>
                <w:rFonts w:hint="eastAsia" w:ascii="楷体" w:hAnsi="楷体" w:eastAsia="楷体"/>
              </w:rPr>
            </w:pPr>
            <w:r>
              <w:rPr>
                <w:rFonts w:hint="eastAsia" w:ascii="楷体" w:hAnsi="楷体" w:eastAsia="楷体"/>
              </w:rPr>
              <w:t>具象3：课程进实训场所必进行安全教学，设备安全操作规程上墙</w:t>
            </w:r>
          </w:p>
        </w:tc>
        <w:tc>
          <w:tcPr>
            <w:tcW w:w="4684" w:type="dxa"/>
            <w:tcMar>
              <w:top w:w="57" w:type="dxa"/>
              <w:left w:w="108" w:type="dxa"/>
              <w:bottom w:w="57" w:type="dxa"/>
              <w:right w:w="108" w:type="dxa"/>
            </w:tcMar>
            <w:vAlign w:val="center"/>
          </w:tcPr>
          <w:p w14:paraId="4143A27C">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专业课程体系内外涉及的社会主义核心价值观引导、安全生产、绿色环保、法律法规以及行业文化的教学活动设计与实施记录材料；学生相应的学习成果汇总材料</w:t>
            </w:r>
          </w:p>
          <w:p w14:paraId="5ABD4849">
            <w:pPr>
              <w:adjustRightInd w:val="0"/>
              <w:snapToGrid w:val="0"/>
              <w:rPr>
                <w:rFonts w:hint="eastAsia" w:ascii="楷体" w:hAnsi="楷体" w:eastAsia="楷体" w:cs="宋体"/>
                <w:color w:val="EE0000"/>
                <w:kern w:val="0"/>
              </w:rPr>
            </w:pPr>
            <w:r>
              <w:rPr>
                <w:rFonts w:hint="eastAsia" w:ascii="楷体" w:hAnsi="楷体" w:eastAsia="楷体"/>
                <w:color w:val="000000"/>
                <w:kern w:val="0"/>
              </w:rPr>
              <w:t>具象1：</w:t>
            </w:r>
            <w:r>
              <w:rPr>
                <w:rFonts w:hint="eastAsia" w:ascii="宋体" w:hAnsi="宋体" w:eastAsia="宋体" w:cs="宋体"/>
                <w:kern w:val="0"/>
              </w:rPr>
              <w:t>毛泽东思想和</w:t>
            </w:r>
            <w:r>
              <w:rPr>
                <w:rFonts w:ascii="宋体" w:hAnsi="宋体" w:eastAsia="宋体" w:cs="宋体"/>
                <w:kern w:val="0"/>
              </w:rPr>
              <w:t>中国</w:t>
            </w:r>
            <w:r>
              <w:rPr>
                <w:rFonts w:hint="eastAsia" w:ascii="宋体" w:hAnsi="宋体" w:eastAsia="宋体" w:cs="宋体"/>
                <w:kern w:val="0"/>
              </w:rPr>
              <w:t>特色</w:t>
            </w:r>
            <w:r>
              <w:rPr>
                <w:rFonts w:ascii="宋体" w:hAnsi="宋体" w:eastAsia="宋体" w:cs="宋体"/>
                <w:kern w:val="0"/>
              </w:rPr>
              <w:t>社会主</w:t>
            </w:r>
            <w:r>
              <w:rPr>
                <w:rFonts w:hint="eastAsia" w:ascii="宋体" w:hAnsi="宋体" w:eastAsia="宋体" w:cs="宋体"/>
                <w:kern w:val="0"/>
              </w:rPr>
              <w:t>义</w:t>
            </w:r>
            <w:r>
              <w:rPr>
                <w:rFonts w:ascii="宋体" w:hAnsi="宋体" w:eastAsia="宋体" w:cs="宋体"/>
                <w:kern w:val="0"/>
              </w:rPr>
              <w:t>理论体系概论</w:t>
            </w:r>
            <w:r>
              <w:rPr>
                <w:rFonts w:hint="eastAsia" w:ascii="宋体" w:hAnsi="宋体" w:eastAsia="宋体" w:cs="宋体"/>
                <w:kern w:val="0"/>
              </w:rPr>
              <w:t>课程关于社会主义核心价值观内容的教学日志（智慧教务平台）</w:t>
            </w:r>
          </w:p>
          <w:p w14:paraId="2A8AFF2C">
            <w:pPr>
              <w:adjustRightInd w:val="0"/>
              <w:snapToGrid w:val="0"/>
              <w:rPr>
                <w:rFonts w:hint="eastAsia" w:ascii="楷体" w:hAnsi="楷体" w:eastAsia="楷体" w:cs="宋体"/>
                <w:kern w:val="0"/>
              </w:rPr>
            </w:pPr>
            <w:r>
              <w:rPr>
                <w:rFonts w:hint="eastAsia" w:ascii="楷体" w:hAnsi="楷体" w:eastAsia="楷体" w:cs="宋体"/>
                <w:kern w:val="0"/>
              </w:rPr>
              <w:t>具象2：</w:t>
            </w:r>
            <w:r>
              <w:rPr>
                <w:rFonts w:hint="eastAsia" w:ascii="宋体" w:hAnsi="宋体" w:eastAsia="宋体" w:cs="宋体"/>
                <w:kern w:val="0"/>
              </w:rPr>
              <w:t>思想道德修养与法治课程关于法律法规内容的教学日志（智慧教务平台）</w:t>
            </w:r>
          </w:p>
          <w:p w14:paraId="316C0EFB">
            <w:pPr>
              <w:adjustRightInd w:val="0"/>
              <w:snapToGrid w:val="0"/>
              <w:rPr>
                <w:rFonts w:hint="eastAsia" w:ascii="宋体" w:hAnsi="宋体" w:eastAsia="宋体" w:cs="宋体"/>
                <w:kern w:val="0"/>
              </w:rPr>
            </w:pPr>
            <w:r>
              <w:rPr>
                <w:rFonts w:hint="eastAsia" w:ascii="楷体" w:hAnsi="楷体" w:eastAsia="楷体" w:cs="宋体"/>
                <w:kern w:val="0"/>
              </w:rPr>
              <w:t>具像3：</w:t>
            </w:r>
            <w:r>
              <w:rPr>
                <w:rFonts w:hint="eastAsia" w:ascii="宋体" w:hAnsi="宋体" w:eastAsia="宋体" w:cs="宋体"/>
                <w:kern w:val="0"/>
              </w:rPr>
              <w:t>模具专业进入实训场所安全教育记录表（机械学院教学存档资料），现场设备安全操作规程上墙（现场走访）</w:t>
            </w:r>
          </w:p>
          <w:p w14:paraId="19877E6A">
            <w:pPr>
              <w:adjustRightInd w:val="0"/>
              <w:snapToGrid w:val="0"/>
              <w:rPr>
                <w:rFonts w:hint="eastAsia" w:ascii="楷体" w:hAnsi="楷体" w:eastAsia="楷体" w:cs="宋体"/>
                <w:color w:val="000000"/>
                <w:kern w:val="0"/>
              </w:rPr>
            </w:pPr>
            <w:r>
              <w:rPr>
                <w:rFonts w:hint="eastAsia" w:ascii="楷体" w:hAnsi="楷体" w:eastAsia="楷体" w:cs="宋体"/>
                <w:kern w:val="0"/>
              </w:rPr>
              <w:t>具像4：</w:t>
            </w:r>
            <w:r>
              <w:rPr>
                <w:rFonts w:hint="eastAsia" w:ascii="宋体" w:hAnsi="宋体" w:eastAsia="宋体" w:cs="宋体"/>
                <w:color w:val="000000"/>
                <w:kern w:val="0"/>
              </w:rPr>
              <w:t>2023年、2024年、2025年学生实习实训零安全事故</w:t>
            </w:r>
          </w:p>
        </w:tc>
      </w:tr>
      <w:tr w14:paraId="1FE48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4A370BE8">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3CD09554">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28FD8D63">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r>
              <w:rPr>
                <w:rFonts w:hint="eastAsia" w:ascii="楷体" w:hAnsi="楷体" w:eastAsia="楷体" w:cs="宋体"/>
                <w:color w:val="000000" w:themeColor="text1"/>
                <w:kern w:val="0"/>
                <w14:textFill>
                  <w14:solidFill>
                    <w14:schemeClr w14:val="tx1"/>
                  </w14:solidFill>
                </w14:textFill>
              </w:rPr>
              <w:t>（绿色环保和行业文化是可选项，不是该专业重点，可略）</w:t>
            </w:r>
          </w:p>
          <w:p w14:paraId="2225C89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采信情况：现场查阅到</w:t>
            </w:r>
            <w:r>
              <w:rPr>
                <w:rFonts w:hint="eastAsia" w:ascii="楷体" w:hAnsi="楷体" w:eastAsia="楷体" w:cs="宋体"/>
                <w:kern w:val="0"/>
              </w:rPr>
              <w:t>具象1—具象3</w:t>
            </w:r>
            <w:r>
              <w:rPr>
                <w:rFonts w:hint="eastAsia" w:ascii="楷体" w:hAnsi="楷体" w:eastAsia="楷体" w:cs="宋体"/>
                <w:color w:val="000000"/>
                <w:kern w:val="0"/>
              </w:rPr>
              <w:t>的原始教学过程及学生成果材料，采信</w:t>
            </w:r>
          </w:p>
          <w:p w14:paraId="1E8CF01F">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0A2CC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1E670070">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70888035">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3.7职业规范</w:t>
            </w:r>
          </w:p>
        </w:tc>
        <w:tc>
          <w:tcPr>
            <w:tcW w:w="2976" w:type="dxa"/>
            <w:tcMar>
              <w:top w:w="57" w:type="dxa"/>
              <w:left w:w="108" w:type="dxa"/>
              <w:bottom w:w="57" w:type="dxa"/>
              <w:right w:w="108" w:type="dxa"/>
            </w:tcMar>
            <w:vAlign w:val="center"/>
          </w:tcPr>
          <w:p w14:paraId="3FAB61F2">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能理解并遵守职业道德和机械行业工作规范，自觉履行岗位职责</w:t>
            </w:r>
          </w:p>
          <w:p w14:paraId="2CD961F3">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本专业各课程标准将考勤列为成绩考核指标以等效培养职场中准时上下班的职业规范</w:t>
            </w:r>
          </w:p>
          <w:p w14:paraId="2A8F635F">
            <w:pPr>
              <w:adjustRightInd w:val="0"/>
              <w:snapToGrid w:val="0"/>
              <w:jc w:val="left"/>
              <w:rPr>
                <w:rFonts w:hint="eastAsia" w:ascii="宋体" w:hAnsi="宋体" w:eastAsia="宋体"/>
              </w:rPr>
            </w:pPr>
            <w:r>
              <w:rPr>
                <w:rFonts w:hint="eastAsia" w:ascii="楷体" w:hAnsi="楷体" w:eastAsia="楷体"/>
              </w:rPr>
              <w:t>具象2：</w:t>
            </w:r>
            <w:r>
              <w:rPr>
                <w:rFonts w:hint="eastAsia" w:ascii="宋体" w:hAnsi="宋体" w:eastAsia="宋体"/>
              </w:rPr>
              <w:t>本专业各课程严格作假作弊检查以等效培养职场中不作假不作弊的职业道德</w:t>
            </w:r>
          </w:p>
          <w:p w14:paraId="59E400E9">
            <w:pPr>
              <w:adjustRightInd w:val="0"/>
              <w:snapToGrid w:val="0"/>
              <w:jc w:val="left"/>
              <w:rPr>
                <w:rFonts w:hint="eastAsia" w:ascii="楷体" w:hAnsi="楷体" w:eastAsia="楷体" w:cs="宋体"/>
                <w:color w:val="000000"/>
                <w:kern w:val="0"/>
              </w:rPr>
            </w:pPr>
            <w:r>
              <w:rPr>
                <w:rFonts w:hint="eastAsia" w:ascii="楷体" w:hAnsi="楷体" w:eastAsia="楷体"/>
              </w:rPr>
              <w:t>具象3：</w:t>
            </w:r>
            <w:r>
              <w:rPr>
                <w:rFonts w:hint="eastAsia" w:ascii="宋体" w:hAnsi="宋体" w:eastAsia="宋体"/>
              </w:rPr>
              <w:t>本专业钳工实训、数控铣床操作实训、电加工实训3门课程以执行5S标准为培养学生遵守工作规范行为的重点</w:t>
            </w:r>
          </w:p>
        </w:tc>
        <w:tc>
          <w:tcPr>
            <w:tcW w:w="4684" w:type="dxa"/>
            <w:tcMar>
              <w:top w:w="57" w:type="dxa"/>
              <w:left w:w="108" w:type="dxa"/>
              <w:bottom w:w="57" w:type="dxa"/>
              <w:right w:w="108" w:type="dxa"/>
            </w:tcMar>
            <w:vAlign w:val="center"/>
          </w:tcPr>
          <w:p w14:paraId="1B03DCD6">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专业课程体系内外教学活动中所涉及的职业言行规范、流程规范、工作纪律、标准执行、5S生产现场管理等教学活动设计与实施情况过程性汇总材料；学生习得职业规范的学习成果汇总材料</w:t>
            </w:r>
          </w:p>
          <w:p w14:paraId="7E3BD0AF">
            <w:pPr>
              <w:adjustRightInd w:val="0"/>
              <w:snapToGrid w:val="0"/>
              <w:rPr>
                <w:rFonts w:hint="eastAsia" w:ascii="宋体" w:hAnsi="宋体" w:eastAsia="宋体"/>
                <w:kern w:val="0"/>
              </w:rPr>
            </w:pPr>
            <w:r>
              <w:rPr>
                <w:rFonts w:hint="eastAsia" w:ascii="楷体" w:hAnsi="楷体" w:eastAsia="楷体"/>
                <w:color w:val="000000"/>
                <w:kern w:val="0"/>
              </w:rPr>
              <w:t>具象1：</w:t>
            </w:r>
            <w:r>
              <w:rPr>
                <w:rFonts w:hint="eastAsia" w:ascii="宋体" w:hAnsi="宋体" w:eastAsia="宋体"/>
                <w:kern w:val="0"/>
              </w:rPr>
              <w:t>课程考勤记录（现场提供机械工程学院教学归档资料）</w:t>
            </w:r>
          </w:p>
          <w:p w14:paraId="57C1CCB3">
            <w:pPr>
              <w:adjustRightInd w:val="0"/>
              <w:snapToGrid w:val="0"/>
              <w:rPr>
                <w:rFonts w:hint="eastAsia" w:ascii="楷体" w:hAnsi="楷体" w:eastAsia="楷体" w:cs="宋体"/>
                <w:color w:val="EE0000"/>
                <w:kern w:val="0"/>
              </w:rPr>
            </w:pPr>
            <w:r>
              <w:rPr>
                <w:rFonts w:hint="eastAsia" w:ascii="楷体" w:hAnsi="楷体" w:eastAsia="楷体"/>
                <w:color w:val="000000"/>
                <w:kern w:val="0"/>
              </w:rPr>
              <w:t>具象2：</w:t>
            </w:r>
            <w:r>
              <w:rPr>
                <w:rFonts w:hint="eastAsia" w:ascii="宋体" w:hAnsi="宋体" w:eastAsia="宋体" w:cs="宋体"/>
                <w:kern w:val="0"/>
              </w:rPr>
              <w:t>2023年、2024年、2025年本专业因作弊受处理学生清单（共有1人因作弊受到处分）</w:t>
            </w:r>
          </w:p>
          <w:p w14:paraId="40D6C412">
            <w:pPr>
              <w:adjustRightInd w:val="0"/>
              <w:snapToGrid w:val="0"/>
              <w:rPr>
                <w:rFonts w:hint="eastAsia" w:ascii="楷体" w:hAnsi="楷体" w:eastAsia="楷体" w:cs="宋体"/>
                <w:color w:val="000000"/>
                <w:kern w:val="0"/>
              </w:rPr>
            </w:pPr>
            <w:r>
              <w:rPr>
                <w:rFonts w:hint="eastAsia" w:ascii="楷体" w:hAnsi="楷体" w:eastAsia="楷体" w:cs="宋体"/>
                <w:kern w:val="0"/>
              </w:rPr>
              <w:t>具象3：</w:t>
            </w:r>
            <w:r>
              <w:rPr>
                <w:rFonts w:hint="eastAsia" w:ascii="宋体" w:hAnsi="宋体" w:eastAsia="宋体"/>
              </w:rPr>
              <w:t>钳工实训、数控铣床操作实训、电加工实训3门课程日常5S考核记录</w:t>
            </w:r>
            <w:r>
              <w:rPr>
                <w:rFonts w:hint="eastAsia" w:ascii="宋体" w:hAnsi="宋体" w:eastAsia="宋体"/>
                <w:kern w:val="0"/>
              </w:rPr>
              <w:t>（现场提供机械工程学院教学归档资料）</w:t>
            </w:r>
          </w:p>
        </w:tc>
      </w:tr>
      <w:tr w14:paraId="2C9FE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72CBB02C">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0B328AF6">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2D09C653">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6B0A3883">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采信情况：现场查阅</w:t>
            </w:r>
            <w:r>
              <w:rPr>
                <w:rFonts w:hint="eastAsia" w:ascii="楷体" w:hAnsi="楷体" w:eastAsia="楷体" w:cs="宋体"/>
                <w:kern w:val="0"/>
              </w:rPr>
              <w:t>到具象1、具象2、具象3</w:t>
            </w:r>
            <w:r>
              <w:rPr>
                <w:rFonts w:hint="eastAsia" w:ascii="楷体" w:hAnsi="楷体" w:eastAsia="楷体" w:cs="宋体"/>
                <w:color w:val="000000"/>
                <w:kern w:val="0"/>
              </w:rPr>
              <w:t>的原始教学过程及学生成果材料，采信</w:t>
            </w:r>
          </w:p>
          <w:p w14:paraId="0226FC0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15C24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0E91D4DB">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0B9F9B8C">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3.8合作交流</w:t>
            </w:r>
          </w:p>
        </w:tc>
        <w:tc>
          <w:tcPr>
            <w:tcW w:w="2976" w:type="dxa"/>
            <w:tcMar>
              <w:top w:w="57" w:type="dxa"/>
              <w:left w:w="108" w:type="dxa"/>
              <w:bottom w:w="57" w:type="dxa"/>
              <w:right w:w="108" w:type="dxa"/>
            </w:tcMar>
            <w:vAlign w:val="center"/>
          </w:tcPr>
          <w:p w14:paraId="051EF000">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能在专业工作项目中胜任团队成员或负责人职责；能在专业活动领域与具有不同文化背景的合作伙伴进行有效沟通与协作</w:t>
            </w:r>
          </w:p>
          <w:p w14:paraId="0EE9F4F0">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在</w:t>
            </w:r>
            <w:r>
              <w:rPr>
                <w:rFonts w:ascii="宋体" w:hAnsi="宋体" w:eastAsia="宋体"/>
              </w:rPr>
              <w:t>增材制造技术与应用</w:t>
            </w:r>
            <w:r>
              <w:rPr>
                <w:rFonts w:hint="eastAsia" w:ascii="宋体" w:hAnsi="宋体" w:eastAsia="宋体"/>
              </w:rPr>
              <w:t>、机械类专业定岗实习课程中设置有团队合作项目</w:t>
            </w:r>
          </w:p>
          <w:p w14:paraId="406652DC">
            <w:pPr>
              <w:adjustRightInd w:val="0"/>
              <w:snapToGrid w:val="0"/>
              <w:jc w:val="left"/>
              <w:rPr>
                <w:rFonts w:hint="eastAsia" w:ascii="楷体" w:hAnsi="楷体" w:eastAsia="楷体"/>
              </w:rPr>
            </w:pPr>
            <w:r>
              <w:rPr>
                <w:rFonts w:hint="eastAsia" w:ascii="楷体" w:hAnsi="楷体" w:eastAsia="楷体"/>
              </w:rPr>
              <w:t>具象2：</w:t>
            </w:r>
            <w:r>
              <w:rPr>
                <w:rFonts w:hint="eastAsia" w:ascii="宋体" w:hAnsi="宋体" w:eastAsia="宋体"/>
              </w:rPr>
              <w:t>以学生个体交流发言为载体（涉及项目开展中的角色和与人协作内容）培养合作交流能力</w:t>
            </w:r>
          </w:p>
        </w:tc>
        <w:tc>
          <w:tcPr>
            <w:tcW w:w="4684" w:type="dxa"/>
            <w:tcMar>
              <w:top w:w="57" w:type="dxa"/>
              <w:left w:w="108" w:type="dxa"/>
              <w:bottom w:w="57" w:type="dxa"/>
              <w:right w:w="108" w:type="dxa"/>
            </w:tcMar>
            <w:vAlign w:val="center"/>
          </w:tcPr>
          <w:p w14:paraId="30859A30">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专业课程体系内外涉及合作交流的教学活动设计与实施记录汇总材料；学生习得的合作交流学习成果的汇总材料</w:t>
            </w:r>
          </w:p>
          <w:p w14:paraId="1078FC3B">
            <w:pPr>
              <w:adjustRightInd w:val="0"/>
              <w:snapToGrid w:val="0"/>
              <w:rPr>
                <w:rFonts w:hint="eastAsia" w:ascii="宋体" w:hAnsi="宋体" w:eastAsia="宋体"/>
              </w:rPr>
            </w:pPr>
            <w:r>
              <w:rPr>
                <w:rFonts w:hint="eastAsia" w:ascii="楷体" w:hAnsi="楷体" w:eastAsia="楷体"/>
              </w:rPr>
              <w:t>具象1：</w:t>
            </w:r>
            <w:r>
              <w:rPr>
                <w:rFonts w:ascii="宋体" w:hAnsi="宋体" w:eastAsia="宋体"/>
              </w:rPr>
              <w:t>增材制造技术与应用</w:t>
            </w:r>
            <w:r>
              <w:rPr>
                <w:rFonts w:hint="eastAsia" w:ascii="宋体" w:hAnsi="宋体" w:eastAsia="宋体"/>
              </w:rPr>
              <w:t>、机械类专业定岗实习课程团队合作项目教学过程记录（智慧教务平台中的教学日志）</w:t>
            </w:r>
          </w:p>
          <w:p w14:paraId="0C712047">
            <w:pPr>
              <w:adjustRightInd w:val="0"/>
              <w:snapToGrid w:val="0"/>
              <w:rPr>
                <w:rFonts w:hint="eastAsia" w:ascii="宋体" w:hAnsi="宋体" w:eastAsia="宋体"/>
              </w:rPr>
            </w:pPr>
            <w:r>
              <w:rPr>
                <w:rFonts w:hint="eastAsia" w:ascii="楷体" w:hAnsi="楷体" w:eastAsia="楷体"/>
              </w:rPr>
              <w:t>具象2：</w:t>
            </w:r>
            <w:r>
              <w:rPr>
                <w:rFonts w:hint="eastAsia" w:ascii="宋体" w:hAnsi="宋体" w:eastAsia="宋体"/>
              </w:rPr>
              <w:t>学生个体提交的交流发言文稿、PPT、5分钟的自制发言视频</w:t>
            </w:r>
          </w:p>
          <w:p w14:paraId="6AF00A26">
            <w:pPr>
              <w:adjustRightInd w:val="0"/>
              <w:snapToGrid w:val="0"/>
              <w:rPr>
                <w:rFonts w:hint="eastAsia" w:ascii="楷体" w:hAnsi="楷体" w:eastAsia="楷体" w:cs="宋体"/>
                <w:color w:val="000000"/>
                <w:kern w:val="0"/>
              </w:rPr>
            </w:pPr>
            <w:r>
              <w:rPr>
                <w:rFonts w:hint="eastAsia" w:ascii="楷体" w:hAnsi="楷体" w:eastAsia="楷体"/>
              </w:rPr>
              <w:t>具象3：</w:t>
            </w:r>
            <w:r>
              <w:rPr>
                <w:rFonts w:ascii="宋体" w:hAnsi="宋体" w:eastAsia="宋体"/>
              </w:rPr>
              <w:t>增材制造技术与应用</w:t>
            </w:r>
            <w:r>
              <w:rPr>
                <w:rFonts w:hint="eastAsia" w:ascii="宋体" w:hAnsi="宋体" w:eastAsia="宋体"/>
              </w:rPr>
              <w:t>、机械类专业定岗实习课程2023年、2024年、2025年个人交流发言评价成绩汇总</w:t>
            </w:r>
          </w:p>
        </w:tc>
      </w:tr>
      <w:tr w14:paraId="50A87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5896DFA5">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2F0EAACA">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60BAC5CC">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784308B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采信情况：现场查阅到</w:t>
            </w:r>
            <w:r>
              <w:rPr>
                <w:rFonts w:hint="eastAsia" w:ascii="楷体" w:hAnsi="楷体" w:eastAsia="楷体" w:cs="宋体"/>
                <w:kern w:val="0"/>
              </w:rPr>
              <w:t>具象1—具象3</w:t>
            </w:r>
            <w:r>
              <w:rPr>
                <w:rFonts w:hint="eastAsia" w:ascii="楷体" w:hAnsi="楷体" w:eastAsia="楷体" w:cs="宋体"/>
                <w:color w:val="000000"/>
                <w:kern w:val="0"/>
              </w:rPr>
              <w:t>的原始教学过程及学生成果材料，采信</w:t>
            </w:r>
          </w:p>
          <w:p w14:paraId="3EB213A5">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6FE8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6B33140D">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219514E9">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3.9终身学习</w:t>
            </w:r>
          </w:p>
        </w:tc>
        <w:tc>
          <w:tcPr>
            <w:tcW w:w="2976" w:type="dxa"/>
            <w:tcMar>
              <w:top w:w="57" w:type="dxa"/>
              <w:left w:w="108" w:type="dxa"/>
              <w:bottom w:w="57" w:type="dxa"/>
              <w:right w:w="108" w:type="dxa"/>
            </w:tcMar>
            <w:vAlign w:val="center"/>
          </w:tcPr>
          <w:p w14:paraId="6F4FEE8E">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有自主学习和终身学习的意识和能力</w:t>
            </w:r>
          </w:p>
          <w:p w14:paraId="687FBB77">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学生展现较强自主学习意识，高频利用学校学习资源，保证充足课外自主学习时间，主动规划学习进程</w:t>
            </w:r>
          </w:p>
          <w:p w14:paraId="0747A411">
            <w:pPr>
              <w:adjustRightInd w:val="0"/>
              <w:snapToGrid w:val="0"/>
              <w:jc w:val="left"/>
              <w:rPr>
                <w:rFonts w:hint="eastAsia" w:ascii="楷体" w:hAnsi="楷体" w:eastAsia="楷体" w:cs="宋体"/>
                <w:color w:val="000000"/>
                <w:kern w:val="0"/>
              </w:rPr>
            </w:pPr>
            <w:r>
              <w:rPr>
                <w:rFonts w:hint="eastAsia" w:ascii="楷体" w:hAnsi="楷体" w:eastAsia="楷体"/>
              </w:rPr>
              <w:t>具象2：</w:t>
            </w:r>
            <w:r>
              <w:rPr>
                <w:rFonts w:hint="eastAsia" w:ascii="宋体" w:hAnsi="宋体" w:eastAsia="宋体"/>
              </w:rPr>
              <w:t>学生需具备良好自主学习与终身学习能力，严格执行学习计划、灵活调整学习策略，清晰规划职业发展</w:t>
            </w:r>
          </w:p>
        </w:tc>
        <w:tc>
          <w:tcPr>
            <w:tcW w:w="4684" w:type="dxa"/>
            <w:tcMar>
              <w:top w:w="57" w:type="dxa"/>
              <w:left w:w="108" w:type="dxa"/>
              <w:bottom w:w="57" w:type="dxa"/>
              <w:right w:w="108" w:type="dxa"/>
            </w:tcMar>
            <w:vAlign w:val="center"/>
          </w:tcPr>
          <w:p w14:paraId="626DDFDD">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专业课程体系内外涉及自主学习和终身学习项目汇总材料；学生自主学习和终身学习成果汇总材料</w:t>
            </w:r>
          </w:p>
          <w:p w14:paraId="2C320A43">
            <w:pPr>
              <w:adjustRightInd w:val="0"/>
              <w:snapToGrid w:val="0"/>
              <w:rPr>
                <w:rFonts w:hint="eastAsia" w:ascii="楷体" w:hAnsi="楷体" w:eastAsia="楷体"/>
              </w:rPr>
            </w:pPr>
            <w:r>
              <w:rPr>
                <w:rFonts w:hint="eastAsia" w:ascii="楷体" w:hAnsi="楷体" w:eastAsia="楷体"/>
              </w:rPr>
              <w:t>具象1：在课程模具设计中设自主学习章节、布置任务并提供指导</w:t>
            </w:r>
          </w:p>
          <w:p w14:paraId="16C0722D">
            <w:pPr>
              <w:adjustRightInd w:val="0"/>
              <w:snapToGrid w:val="0"/>
              <w:rPr>
                <w:rFonts w:hint="eastAsia" w:ascii="楷体" w:hAnsi="楷体" w:eastAsia="楷体" w:cs="宋体"/>
                <w:color w:val="000000"/>
                <w:kern w:val="0"/>
              </w:rPr>
            </w:pPr>
            <w:r>
              <w:rPr>
                <w:rFonts w:hint="eastAsia" w:ascii="楷体" w:hAnsi="楷体" w:eastAsia="楷体"/>
              </w:rPr>
              <w:t>具象2：该专业学生通过自主学习收获显著成果，彰显出专业在培养学生自主与终身学习能力上的成效</w:t>
            </w:r>
          </w:p>
        </w:tc>
      </w:tr>
      <w:tr w14:paraId="5C19B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54EF6C2F">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00162484">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具象不具化，教学载体不确切，与基准符合度不够</w:t>
            </w:r>
          </w:p>
        </w:tc>
        <w:tc>
          <w:tcPr>
            <w:tcW w:w="4684" w:type="dxa"/>
            <w:tcMar>
              <w:top w:w="57" w:type="dxa"/>
              <w:left w:w="108" w:type="dxa"/>
              <w:bottom w:w="57" w:type="dxa"/>
              <w:right w:w="108" w:type="dxa"/>
            </w:tcMar>
            <w:vAlign w:val="center"/>
          </w:tcPr>
          <w:p w14:paraId="6C837C78">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具象与依据：具象不具化</w:t>
            </w:r>
          </w:p>
          <w:p w14:paraId="0B4B015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采信情况：依据无证实作用，不采信</w:t>
            </w:r>
          </w:p>
          <w:p w14:paraId="577FC79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hint="eastAsia" w:ascii="楷体" w:hAnsi="楷体" w:eastAsia="楷体" w:cs="宋体"/>
                <w:kern w:val="0"/>
              </w:rPr>
              <w:t>C</w:t>
            </w:r>
          </w:p>
        </w:tc>
      </w:tr>
      <w:tr w14:paraId="04CE6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62928323">
            <w:pPr>
              <w:adjustRightInd w:val="0"/>
              <w:snapToGrid w:val="0"/>
              <w:ind w:firstLine="0" w:firstLineChars="0"/>
              <w:jc w:val="left"/>
              <w:rPr>
                <w:rFonts w:hint="eastAsia" w:ascii="宋体" w:hAnsi="宋体" w:eastAsia="宋体" w:cs="宋体"/>
                <w:color w:val="000000"/>
                <w:kern w:val="0"/>
              </w:rPr>
            </w:pPr>
            <w:r>
              <w:rPr>
                <w:rFonts w:ascii="宋体" w:hAnsi="宋体" w:eastAsia="宋体"/>
              </w:rPr>
              <w:t>4</w:t>
            </w:r>
            <w:r>
              <w:rPr>
                <w:rFonts w:hint="eastAsia" w:ascii="宋体" w:hAnsi="宋体" w:eastAsia="宋体"/>
              </w:rPr>
              <w:t>课程体系</w:t>
            </w:r>
          </w:p>
        </w:tc>
        <w:tc>
          <w:tcPr>
            <w:tcW w:w="1261" w:type="dxa"/>
            <w:tcMar>
              <w:top w:w="57" w:type="dxa"/>
              <w:left w:w="108" w:type="dxa"/>
              <w:bottom w:w="57" w:type="dxa"/>
              <w:right w:w="108" w:type="dxa"/>
            </w:tcMar>
            <w:vAlign w:val="center"/>
          </w:tcPr>
          <w:p w14:paraId="29BDBB9E">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4.1课程设置</w:t>
            </w:r>
          </w:p>
        </w:tc>
        <w:tc>
          <w:tcPr>
            <w:tcW w:w="2976" w:type="dxa"/>
            <w:tcMar>
              <w:top w:w="57" w:type="dxa"/>
              <w:left w:w="108" w:type="dxa"/>
              <w:bottom w:w="57" w:type="dxa"/>
              <w:right w:w="108" w:type="dxa"/>
            </w:tcMar>
            <w:vAlign w:val="center"/>
          </w:tcPr>
          <w:p w14:paraId="6ED3776F">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有课程建设相关制度，课程设置有行业、企业专家参与；有针对不同生源的差异化专业课程体系，课程体系能有效支撑毕业要求；三年制专科专业总学时不少于教育部专业教学标准的规定，选修课学时数占总学时的比例不少于10%</w:t>
            </w:r>
          </w:p>
          <w:p w14:paraId="4199D1C3">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学校发布</w:t>
            </w:r>
            <w:r>
              <w:rPr>
                <w:rFonts w:hint="eastAsia" w:ascii="宋体" w:hAnsi="宋体" w:eastAsia="宋体" w:cs="宋体"/>
                <w:color w:val="000000"/>
                <w:kern w:val="0"/>
              </w:rPr>
              <w:t>2023年、2024年、2025年</w:t>
            </w:r>
            <w:r>
              <w:rPr>
                <w:rFonts w:ascii="宋体" w:hAnsi="宋体" w:eastAsia="宋体"/>
              </w:rPr>
              <w:t>关于修定高职专业人才培养方案的原则意见</w:t>
            </w:r>
            <w:r>
              <w:rPr>
                <w:rFonts w:hint="eastAsia" w:ascii="宋体" w:hAnsi="宋体" w:eastAsia="宋体"/>
              </w:rPr>
              <w:t>；2025年学校新发布无锡职业技术大学课程与教材建设实施方案</w:t>
            </w:r>
          </w:p>
          <w:p w14:paraId="45110A2B">
            <w:pPr>
              <w:adjustRightInd w:val="0"/>
              <w:snapToGrid w:val="0"/>
              <w:jc w:val="left"/>
              <w:rPr>
                <w:rFonts w:hint="eastAsia" w:ascii="宋体" w:hAnsi="宋体" w:eastAsia="宋体"/>
              </w:rPr>
            </w:pPr>
            <w:r>
              <w:rPr>
                <w:rFonts w:hint="eastAsia" w:ascii="楷体" w:hAnsi="楷体" w:eastAsia="楷体"/>
              </w:rPr>
              <w:t>具象2：</w:t>
            </w:r>
            <w:r>
              <w:rPr>
                <w:rFonts w:hint="eastAsia" w:ascii="宋体" w:hAnsi="宋体" w:eastAsia="宋体"/>
              </w:rPr>
              <w:t>本专业</w:t>
            </w:r>
            <w:r>
              <w:rPr>
                <w:rFonts w:hint="eastAsia" w:ascii="宋体" w:hAnsi="宋体" w:eastAsia="宋体" w:cs="宋体"/>
                <w:color w:val="000000"/>
                <w:kern w:val="0"/>
              </w:rPr>
              <w:t>2023年、2024年、2025年</w:t>
            </w:r>
            <w:r>
              <w:rPr>
                <w:rFonts w:hint="eastAsia" w:ascii="宋体" w:hAnsi="宋体" w:eastAsia="宋体"/>
              </w:rPr>
              <w:t>邀请企业专家参与，制定了中职生源和高中生源两种有差异的课程体系</w:t>
            </w:r>
          </w:p>
          <w:p w14:paraId="39BFF5C7">
            <w:pPr>
              <w:adjustRightInd w:val="0"/>
              <w:snapToGrid w:val="0"/>
              <w:jc w:val="left"/>
              <w:rPr>
                <w:rFonts w:hint="eastAsia" w:ascii="宋体" w:hAnsi="宋体" w:eastAsia="宋体" w:cs="宋体"/>
                <w:color w:val="000000"/>
                <w:kern w:val="0"/>
              </w:rPr>
            </w:pPr>
            <w:r>
              <w:rPr>
                <w:rFonts w:hint="eastAsia" w:ascii="楷体" w:hAnsi="楷体" w:eastAsia="楷体"/>
              </w:rPr>
              <w:t>具象3：</w:t>
            </w:r>
            <w:r>
              <w:rPr>
                <w:rFonts w:hint="eastAsia" w:ascii="宋体" w:hAnsi="宋体" w:eastAsia="宋体" w:cs="宋体"/>
                <w:color w:val="000000"/>
                <w:kern w:val="0"/>
              </w:rPr>
              <w:t>2023年、2024年、2025年本专业人才培养方案总学时达到教育部专业教学标准2750总学时的要求</w:t>
            </w:r>
          </w:p>
          <w:p w14:paraId="1444AB30">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具象4：</w:t>
            </w:r>
            <w:r>
              <w:rPr>
                <w:rFonts w:hint="eastAsia" w:ascii="宋体" w:hAnsi="宋体" w:eastAsia="宋体" w:cs="宋体"/>
                <w:color w:val="000000"/>
                <w:kern w:val="0"/>
              </w:rPr>
              <w:t>2023年、2024年、2025年本专业人才培养方案选修课对总学时占比要求都达到10%以上</w:t>
            </w:r>
          </w:p>
        </w:tc>
        <w:tc>
          <w:tcPr>
            <w:tcW w:w="4684" w:type="dxa"/>
            <w:tcMar>
              <w:top w:w="57" w:type="dxa"/>
              <w:left w:w="108" w:type="dxa"/>
              <w:bottom w:w="57" w:type="dxa"/>
              <w:right w:w="108" w:type="dxa"/>
            </w:tcMar>
            <w:vAlign w:val="center"/>
          </w:tcPr>
          <w:p w14:paraId="29680663">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课程建设相关制度及执行情况记录，课程标准、课程建设成果汇总材料；近三年行业、企业专家对专业课程设置的意见与建议，专业采纳情况的说明；针对不同生源的课程设置说明材料，课程体系与毕业要求的支撑关系说明材料；开设国家安全教育、创新创业教育、美育以及人文素养教育等选修课的材料，三年制高职专业总学时，选修课学时数占总学时的比例的审核结果文件</w:t>
            </w:r>
          </w:p>
          <w:p w14:paraId="16C9D56A">
            <w:pPr>
              <w:adjustRightInd w:val="0"/>
              <w:snapToGrid w:val="0"/>
              <w:rPr>
                <w:rFonts w:hint="eastAsia" w:ascii="宋体" w:hAnsi="宋体" w:eastAsia="宋体"/>
              </w:rPr>
            </w:pPr>
            <w:r>
              <w:rPr>
                <w:rFonts w:hint="eastAsia" w:ascii="楷体" w:hAnsi="楷体" w:eastAsia="楷体"/>
                <w:color w:val="000000"/>
                <w:kern w:val="0"/>
              </w:rPr>
              <w:t>具象1：</w:t>
            </w:r>
            <w:r>
              <w:rPr>
                <w:rFonts w:hint="eastAsia" w:ascii="宋体" w:hAnsi="宋体" w:eastAsia="宋体" w:cs="宋体"/>
                <w:kern w:val="0"/>
              </w:rPr>
              <w:t>2023年、2024年、2025年</w:t>
            </w:r>
            <w:r>
              <w:rPr>
                <w:rFonts w:hint="eastAsia" w:ascii="宋体" w:hAnsi="宋体" w:eastAsia="宋体"/>
              </w:rPr>
              <w:t>学校发布</w:t>
            </w:r>
            <w:r>
              <w:rPr>
                <w:rFonts w:ascii="宋体" w:hAnsi="宋体" w:eastAsia="宋体"/>
              </w:rPr>
              <w:t>关于修定高职专业人才培养方案的原则意见</w:t>
            </w:r>
            <w:r>
              <w:rPr>
                <w:rFonts w:hint="eastAsia" w:ascii="宋体" w:hAnsi="宋体" w:eastAsia="宋体"/>
              </w:rPr>
              <w:t>文本；学校新发布无锡职业技术大学课程与教材建设实施方案文本</w:t>
            </w:r>
          </w:p>
          <w:p w14:paraId="580D07FE">
            <w:pPr>
              <w:adjustRightInd w:val="0"/>
              <w:snapToGrid w:val="0"/>
              <w:rPr>
                <w:rFonts w:hint="eastAsia" w:ascii="宋体" w:hAnsi="宋体" w:eastAsia="宋体"/>
              </w:rPr>
            </w:pPr>
            <w:r>
              <w:rPr>
                <w:rFonts w:hint="eastAsia" w:ascii="楷体" w:hAnsi="楷体" w:eastAsia="楷体" w:cs="宋体"/>
                <w:kern w:val="0"/>
              </w:rPr>
              <w:t>具象2：</w:t>
            </w:r>
            <w:r>
              <w:rPr>
                <w:rFonts w:hint="eastAsia" w:ascii="宋体" w:hAnsi="宋体" w:eastAsia="宋体" w:cs="宋体"/>
                <w:kern w:val="0"/>
              </w:rPr>
              <w:t>同2.2目标修订之判断依据具象2（该依据中有</w:t>
            </w:r>
            <w:r>
              <w:rPr>
                <w:rFonts w:hint="eastAsia" w:ascii="宋体" w:hAnsi="宋体" w:eastAsia="宋体"/>
              </w:rPr>
              <w:t>企业专家名单意见等）</w:t>
            </w:r>
          </w:p>
          <w:p w14:paraId="06F875DE">
            <w:pPr>
              <w:adjustRightInd w:val="0"/>
              <w:snapToGrid w:val="0"/>
              <w:rPr>
                <w:rFonts w:hint="eastAsia" w:ascii="楷体" w:hAnsi="楷体" w:eastAsia="楷体" w:cs="宋体"/>
                <w:color w:val="000000"/>
                <w:kern w:val="0"/>
              </w:rPr>
            </w:pPr>
            <w:r>
              <w:rPr>
                <w:rFonts w:hint="eastAsia" w:ascii="楷体" w:hAnsi="楷体" w:eastAsia="楷体"/>
              </w:rPr>
              <w:t>具象3：</w:t>
            </w:r>
            <w:r>
              <w:rPr>
                <w:rFonts w:hint="eastAsia" w:ascii="宋体" w:hAnsi="宋体" w:eastAsia="宋体"/>
              </w:rPr>
              <w:t>同</w:t>
            </w:r>
            <w:r>
              <w:rPr>
                <w:rFonts w:hint="eastAsia" w:ascii="宋体" w:hAnsi="宋体" w:eastAsia="宋体" w:cs="宋体"/>
                <w:kern w:val="0"/>
              </w:rPr>
              <w:t>2.1目标定位之判断依据具象2（该编制说明中有专业总学时达成度结果分析说明、选修课总学时占比达成度结果分析说明）</w:t>
            </w:r>
          </w:p>
        </w:tc>
      </w:tr>
      <w:tr w14:paraId="4130D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7DC20C8C">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8684F32">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74B30036">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121C09A9">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采信情况：学校文件及专业报送文件，采信</w:t>
            </w:r>
          </w:p>
          <w:p w14:paraId="58AB5D8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1440C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0AA1602A">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6BF2DECE">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4.2公共基础课程</w:t>
            </w:r>
          </w:p>
        </w:tc>
        <w:tc>
          <w:tcPr>
            <w:tcW w:w="2976" w:type="dxa"/>
            <w:tcMar>
              <w:top w:w="57" w:type="dxa"/>
              <w:left w:w="108" w:type="dxa"/>
              <w:bottom w:w="57" w:type="dxa"/>
              <w:right w:w="108" w:type="dxa"/>
            </w:tcMar>
            <w:vAlign w:val="center"/>
          </w:tcPr>
          <w:p w14:paraId="5F5A83D6">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开足开齐公共基础课程，将思想政治理论、体育、军事理论与军训、心理健康教育、劳动教育等列为公共基础必修课程；公共基础课学时数不少于专业总学时的25%</w:t>
            </w:r>
          </w:p>
          <w:p w14:paraId="2E80A473">
            <w:pPr>
              <w:adjustRightInd w:val="0"/>
              <w:snapToGrid w:val="0"/>
              <w:jc w:val="left"/>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本专业</w:t>
            </w:r>
            <w:r>
              <w:rPr>
                <w:rFonts w:hint="eastAsia" w:ascii="宋体" w:hAnsi="宋体" w:eastAsia="宋体" w:cs="宋体"/>
                <w:kern w:val="0"/>
              </w:rPr>
              <w:t>2023年、2024年、2025年</w:t>
            </w:r>
            <w:r>
              <w:rPr>
                <w:rFonts w:hint="eastAsia" w:ascii="宋体" w:hAnsi="宋体" w:eastAsia="宋体"/>
              </w:rPr>
              <w:t>人才培养方案都达到基准要求，并得到实施</w:t>
            </w:r>
          </w:p>
        </w:tc>
        <w:tc>
          <w:tcPr>
            <w:tcW w:w="4684" w:type="dxa"/>
            <w:tcMar>
              <w:top w:w="57" w:type="dxa"/>
              <w:left w:w="108" w:type="dxa"/>
              <w:bottom w:w="57" w:type="dxa"/>
              <w:right w:w="108" w:type="dxa"/>
            </w:tcMar>
            <w:vAlign w:val="center"/>
          </w:tcPr>
          <w:p w14:paraId="1831A559">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开设思想政治理论、体育、军事理论与军训、心理健康教育、劳动教育等公共基础必修课程的审核材料；公共基础课学时数占专业总学时之比的统计和审核材料</w:t>
            </w:r>
          </w:p>
          <w:p w14:paraId="43A10B71">
            <w:pPr>
              <w:adjustRightInd w:val="0"/>
              <w:snapToGrid w:val="0"/>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同</w:t>
            </w:r>
            <w:r>
              <w:rPr>
                <w:rFonts w:hint="eastAsia" w:ascii="宋体" w:hAnsi="宋体" w:eastAsia="宋体" w:cs="宋体"/>
                <w:kern w:val="0"/>
              </w:rPr>
              <w:t>2.1目标定位之判断依据具象2（该编制说明中有公共基础课部分开设结果的分析说明）</w:t>
            </w:r>
          </w:p>
        </w:tc>
      </w:tr>
      <w:tr w14:paraId="39A29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14E52022">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350E66A9">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04851E9D">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01F42FE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采信情况：专业报送文件，采信</w:t>
            </w:r>
          </w:p>
          <w:p w14:paraId="0FDD58C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177E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2D6D86BB">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5DD67D96">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4.3专业课程</w:t>
            </w:r>
          </w:p>
        </w:tc>
        <w:tc>
          <w:tcPr>
            <w:tcW w:w="2976" w:type="dxa"/>
            <w:tcMar>
              <w:top w:w="57" w:type="dxa"/>
              <w:left w:w="108" w:type="dxa"/>
              <w:bottom w:w="57" w:type="dxa"/>
              <w:right w:w="108" w:type="dxa"/>
            </w:tcMar>
            <w:vAlign w:val="center"/>
          </w:tcPr>
          <w:p w14:paraId="089CD28A">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专业有促进校企合作共建课程的机制与措施；专业课程对接毕业生就业岗位（群）能力需求，突出培养学生解决生产现场技术与产品问题的能力；宜设置6～8门专司专业核心能力培养的专业核心课程</w:t>
            </w:r>
          </w:p>
          <w:p w14:paraId="0345B2F5">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学校2025年新发布了无锡职业技术大学课程与教材建设实施方案（其中四（三）2条款强调了校企合作共建课程）</w:t>
            </w:r>
          </w:p>
          <w:p w14:paraId="23EF04AC">
            <w:pPr>
              <w:adjustRightInd w:val="0"/>
              <w:snapToGrid w:val="0"/>
              <w:jc w:val="left"/>
              <w:rPr>
                <w:rFonts w:hint="eastAsia" w:ascii="宋体" w:hAnsi="宋体" w:eastAsia="宋体"/>
              </w:rPr>
            </w:pPr>
            <w:r>
              <w:rPr>
                <w:rFonts w:hint="eastAsia" w:ascii="楷体" w:hAnsi="楷体" w:eastAsia="楷体"/>
              </w:rPr>
              <w:t>具象2：</w:t>
            </w:r>
            <w:r>
              <w:rPr>
                <w:rFonts w:hint="eastAsia" w:ascii="宋体" w:hAnsi="宋体" w:eastAsia="宋体"/>
              </w:rPr>
              <w:t>专业开展年度毕业生就业岗位（群）能力需求调研</w:t>
            </w:r>
          </w:p>
          <w:p w14:paraId="2392FFA6">
            <w:pPr>
              <w:adjustRightInd w:val="0"/>
              <w:snapToGrid w:val="0"/>
              <w:jc w:val="left"/>
              <w:rPr>
                <w:rFonts w:hint="eastAsia" w:ascii="楷体" w:hAnsi="楷体" w:eastAsia="楷体" w:cs="宋体"/>
                <w:color w:val="000000"/>
                <w:kern w:val="0"/>
              </w:rPr>
            </w:pPr>
            <w:r>
              <w:rPr>
                <w:rFonts w:hint="eastAsia" w:ascii="楷体" w:hAnsi="楷体" w:eastAsia="楷体"/>
              </w:rPr>
              <w:t>具象3：</w:t>
            </w:r>
            <w:r>
              <w:rPr>
                <w:rFonts w:hint="eastAsia" w:ascii="宋体" w:hAnsi="宋体" w:eastAsia="宋体"/>
                <w:color w:val="000000" w:themeColor="text1"/>
                <w14:textFill>
                  <w14:solidFill>
                    <w14:schemeClr w14:val="tx1"/>
                  </w14:solidFill>
                </w14:textFill>
              </w:rPr>
              <w:t>本专业</w:t>
            </w:r>
            <w:r>
              <w:rPr>
                <w:rFonts w:hint="eastAsia" w:ascii="宋体" w:hAnsi="宋体" w:eastAsia="宋体" w:cs="宋体"/>
                <w:color w:val="000000" w:themeColor="text1"/>
                <w:kern w:val="0"/>
                <w14:textFill>
                  <w14:solidFill>
                    <w14:schemeClr w14:val="tx1"/>
                  </w14:solidFill>
                </w14:textFill>
              </w:rPr>
              <w:t>2023年、2024年、2025年</w:t>
            </w:r>
            <w:r>
              <w:rPr>
                <w:rFonts w:hint="eastAsia" w:ascii="宋体" w:hAnsi="宋体" w:eastAsia="宋体"/>
                <w:color w:val="000000" w:themeColor="text1"/>
                <w14:textFill>
                  <w14:solidFill>
                    <w14:schemeClr w14:val="tx1"/>
                  </w14:solidFill>
                </w14:textFill>
              </w:rPr>
              <w:t>人才培养方案开设了冷冲压工艺与模具设计、模具制造工艺、塑料成型工艺与模具设计、机械制造工艺A、机械设计Ⅰ、机械制图与零部件测绘Ⅰ共6门专业</w:t>
            </w:r>
            <w:r>
              <w:rPr>
                <w:rFonts w:hint="eastAsia" w:ascii="宋体" w:hAnsi="宋体" w:eastAsia="宋体"/>
              </w:rPr>
              <w:t>核心课程</w:t>
            </w:r>
          </w:p>
        </w:tc>
        <w:tc>
          <w:tcPr>
            <w:tcW w:w="4684" w:type="dxa"/>
            <w:tcMar>
              <w:top w:w="57" w:type="dxa"/>
              <w:left w:w="108" w:type="dxa"/>
              <w:bottom w:w="57" w:type="dxa"/>
              <w:right w:w="108" w:type="dxa"/>
            </w:tcMar>
            <w:vAlign w:val="center"/>
          </w:tcPr>
          <w:p w14:paraId="59664085">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校企合作共建课程机制与措施的文本汇总材料；专业课程对接毕业生就业岗位（群）能力需求的文本材料；专业课程中有关解决生产现场技术与产品问题的综合性教学项目、教学安排汇总材料；专业核心课程与学生专业核心能力的关系分析材料、审核材料</w:t>
            </w:r>
          </w:p>
          <w:p w14:paraId="42C61784">
            <w:pPr>
              <w:adjustRightInd w:val="0"/>
              <w:snapToGrid w:val="0"/>
              <w:rPr>
                <w:rFonts w:hint="eastAsia" w:ascii="楷体" w:hAnsi="楷体" w:eastAsia="楷体"/>
              </w:rPr>
            </w:pPr>
            <w:r>
              <w:rPr>
                <w:rFonts w:hint="eastAsia" w:ascii="楷体" w:hAnsi="楷体" w:eastAsia="楷体"/>
              </w:rPr>
              <w:t>具象1：</w:t>
            </w:r>
            <w:r>
              <w:rPr>
                <w:rFonts w:hint="eastAsia" w:ascii="宋体" w:hAnsi="宋体" w:eastAsia="宋体"/>
              </w:rPr>
              <w:t>同4.1课程设置之判断依据具象1（其中四（三）2条款强调校企合作共建课程）</w:t>
            </w:r>
          </w:p>
          <w:p w14:paraId="4480FDB1">
            <w:pPr>
              <w:adjustRightInd w:val="0"/>
              <w:snapToGrid w:val="0"/>
              <w:rPr>
                <w:rFonts w:hint="eastAsia" w:ascii="宋体" w:hAnsi="宋体" w:eastAsia="宋体"/>
              </w:rPr>
            </w:pPr>
            <w:r>
              <w:rPr>
                <w:rFonts w:hint="eastAsia" w:ascii="楷体" w:hAnsi="楷体" w:eastAsia="楷体"/>
              </w:rPr>
              <w:t>具象2：</w:t>
            </w:r>
            <w:r>
              <w:rPr>
                <w:rFonts w:hint="eastAsia" w:ascii="宋体" w:hAnsi="宋体" w:eastAsia="宋体"/>
              </w:rPr>
              <w:t>同</w:t>
            </w:r>
            <w:r>
              <w:rPr>
                <w:rFonts w:hint="eastAsia" w:ascii="宋体" w:hAnsi="宋体" w:eastAsia="宋体" w:cs="宋体"/>
                <w:kern w:val="0"/>
              </w:rPr>
              <w:t>2.1目标定位之判断依据具象1（该依据涉及了</w:t>
            </w:r>
            <w:r>
              <w:rPr>
                <w:rFonts w:hint="eastAsia" w:ascii="宋体" w:hAnsi="宋体" w:eastAsia="宋体"/>
              </w:rPr>
              <w:t>毕业生就业岗位（群）能力需求调研分析和结论）</w:t>
            </w:r>
          </w:p>
          <w:p w14:paraId="239147DE">
            <w:pPr>
              <w:adjustRightInd w:val="0"/>
              <w:snapToGrid w:val="0"/>
              <w:rPr>
                <w:rFonts w:hint="eastAsia" w:ascii="楷体" w:hAnsi="楷体" w:eastAsia="楷体" w:cs="宋体"/>
                <w:color w:val="000000"/>
                <w:kern w:val="0"/>
              </w:rPr>
            </w:pPr>
            <w:r>
              <w:rPr>
                <w:rFonts w:hint="eastAsia" w:ascii="楷体" w:hAnsi="楷体" w:eastAsia="楷体"/>
              </w:rPr>
              <w:t>具象3：</w:t>
            </w:r>
            <w:r>
              <w:rPr>
                <w:rFonts w:hint="eastAsia" w:ascii="宋体" w:hAnsi="宋体" w:eastAsia="宋体"/>
              </w:rPr>
              <w:t>同</w:t>
            </w:r>
            <w:r>
              <w:rPr>
                <w:rFonts w:hint="eastAsia" w:ascii="宋体" w:hAnsi="宋体" w:eastAsia="宋体" w:cs="宋体"/>
                <w:kern w:val="0"/>
              </w:rPr>
              <w:t>2.1目标定位之判断依据具象2（该编制说明中有专业核心课开设说明）</w:t>
            </w:r>
          </w:p>
        </w:tc>
      </w:tr>
      <w:tr w14:paraId="77AF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791585FF">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9C275DB">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443033E4">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084389CC">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采信情况：学校文件和专业报送文件，采信</w:t>
            </w:r>
          </w:p>
          <w:p w14:paraId="220A1407">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2F83F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1419B8E0">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39D61A27">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4.4实践类课程</w:t>
            </w:r>
          </w:p>
        </w:tc>
        <w:tc>
          <w:tcPr>
            <w:tcW w:w="2976" w:type="dxa"/>
            <w:tcMar>
              <w:top w:w="57" w:type="dxa"/>
              <w:left w:w="108" w:type="dxa"/>
              <w:bottom w:w="57" w:type="dxa"/>
              <w:right w:w="108" w:type="dxa"/>
            </w:tcMar>
            <w:vAlign w:val="center"/>
          </w:tcPr>
          <w:p w14:paraId="65B62D85">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能保证学生习得与机械行业紧密相关的基础技能和专项技能；实践类课程学时占总学时数50%以上，学生实习时间累计达到6个月</w:t>
            </w:r>
          </w:p>
          <w:p w14:paraId="18FD41FA">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本专业定义了钳工、检测为基础技能，电切削工和数控铣工为专项技能</w:t>
            </w:r>
          </w:p>
          <w:p w14:paraId="46D8D48F">
            <w:pPr>
              <w:adjustRightInd w:val="0"/>
              <w:snapToGrid w:val="0"/>
              <w:jc w:val="left"/>
              <w:rPr>
                <w:rFonts w:hint="eastAsia"/>
              </w:rPr>
            </w:pPr>
            <w:r>
              <w:rPr>
                <w:rFonts w:hint="eastAsia" w:ascii="楷体" w:hAnsi="楷体" w:eastAsia="楷体"/>
              </w:rPr>
              <w:t>具象2：</w:t>
            </w:r>
            <w:r>
              <w:rPr>
                <w:rFonts w:hint="eastAsia" w:ascii="宋体" w:hAnsi="宋体" w:eastAsia="宋体"/>
              </w:rPr>
              <w:t>本专业2023年、2024年、2025年人才培养方案实践课程总学时占比都达到50%以上，学生学习累计都达到6个月</w:t>
            </w:r>
          </w:p>
        </w:tc>
        <w:tc>
          <w:tcPr>
            <w:tcW w:w="4684" w:type="dxa"/>
            <w:tcMar>
              <w:top w:w="57" w:type="dxa"/>
              <w:left w:w="108" w:type="dxa"/>
              <w:bottom w:w="57" w:type="dxa"/>
              <w:right w:w="108" w:type="dxa"/>
            </w:tcMar>
            <w:vAlign w:val="center"/>
          </w:tcPr>
          <w:p w14:paraId="075F4965">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基础技能、专项技能培训项目的承接课程，教学实施和教学保障汇总材料；学生专业基础技能和专项技能的学习成果汇总材料；劳动教育和安全教育在实践性课程中的具体内容与学时汇总；实践性教学学时、学生实习累计时间的统计、审核材料</w:t>
            </w:r>
          </w:p>
          <w:p w14:paraId="6D8F5A31">
            <w:pPr>
              <w:adjustRightInd w:val="0"/>
              <w:snapToGrid w:val="0"/>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同</w:t>
            </w:r>
            <w:r>
              <w:rPr>
                <w:rFonts w:hint="eastAsia" w:ascii="宋体" w:hAnsi="宋体" w:eastAsia="宋体" w:cs="宋体"/>
                <w:kern w:val="0"/>
              </w:rPr>
              <w:t>2.1目标定位之判断依据具象2（该编制说明中有基础技能课程、专项技能课程分析说明，及实践类课程学时的总学时占比、学生实习时间累计统计分析）</w:t>
            </w:r>
          </w:p>
        </w:tc>
      </w:tr>
      <w:tr w14:paraId="7335D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74338021">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76C768AC">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5B0783E5">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4A5BDA4F">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采信情况：学校文件和专业报送文件，采信</w:t>
            </w:r>
          </w:p>
          <w:p w14:paraId="40D2D4A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35DFA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72BBC773">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28DF82C9">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4.5专业基础知识领域</w:t>
            </w:r>
          </w:p>
        </w:tc>
        <w:tc>
          <w:tcPr>
            <w:tcW w:w="2976" w:type="dxa"/>
            <w:tcMar>
              <w:top w:w="57" w:type="dxa"/>
              <w:left w:w="108" w:type="dxa"/>
              <w:bottom w:w="57" w:type="dxa"/>
              <w:right w:w="108" w:type="dxa"/>
            </w:tcMar>
            <w:vAlign w:val="center"/>
          </w:tcPr>
          <w:p w14:paraId="21A9242D">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在机械制图、工程力学、机械设计基础、机械制造基础、工程材料与热加工、电工电子技术、公差配合与测量技术、液压与气动等专业基础知识领域内开设不少于4门专业基础课程，在专业特色服务面向的基础知识领域内开设1门专业基础课程</w:t>
            </w:r>
          </w:p>
          <w:p w14:paraId="70DD8CF0">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在基础课方面开设了《几何量精密测量专用周》《机械设计课程设计》《机械制图测绘》《钳工实训Ⅰ》《数控车床操作实训Ⅰ》等5门专业基础课程；</w:t>
            </w:r>
          </w:p>
          <w:p w14:paraId="7E74D509">
            <w:pPr>
              <w:adjustRightInd w:val="0"/>
              <w:snapToGrid w:val="0"/>
              <w:jc w:val="left"/>
              <w:rPr>
                <w:rFonts w:hint="eastAsia" w:ascii="楷体" w:hAnsi="楷体" w:eastAsia="楷体" w:cs="宋体"/>
                <w:color w:val="000000"/>
                <w:kern w:val="0"/>
              </w:rPr>
            </w:pPr>
            <w:r>
              <w:rPr>
                <w:rFonts w:hint="eastAsia" w:ascii="楷体" w:hAnsi="楷体" w:eastAsia="楷体"/>
              </w:rPr>
              <w:t>具象2：</w:t>
            </w:r>
            <w:r>
              <w:rPr>
                <w:rFonts w:hint="eastAsia" w:ascii="宋体" w:hAnsi="宋体" w:eastAsia="宋体"/>
              </w:rPr>
              <w:t>在特色服务数字化领域开设了《模具数字化设计》专业基础课</w:t>
            </w:r>
          </w:p>
        </w:tc>
        <w:tc>
          <w:tcPr>
            <w:tcW w:w="4684" w:type="dxa"/>
            <w:tcMar>
              <w:top w:w="57" w:type="dxa"/>
              <w:left w:w="108" w:type="dxa"/>
              <w:bottom w:w="57" w:type="dxa"/>
              <w:right w:w="108" w:type="dxa"/>
            </w:tcMar>
            <w:vAlign w:val="center"/>
          </w:tcPr>
          <w:p w14:paraId="631DB23A">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在机械制图、工程力学、机械设计基础、机械制造基础、工程材料与热加工、电工电子技术、公差配合与测量技术、液压与气动等专业基础知识领域内开设的专业基础课程数的统计和审核材料；在专业特色服务面向的基础知识领域内开设的专业基础课程数的统计和审核材料</w:t>
            </w:r>
          </w:p>
          <w:p w14:paraId="054B53EF">
            <w:pPr>
              <w:adjustRightInd w:val="0"/>
              <w:snapToGrid w:val="0"/>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同</w:t>
            </w:r>
            <w:r>
              <w:rPr>
                <w:rFonts w:hint="eastAsia" w:ascii="宋体" w:hAnsi="宋体" w:eastAsia="宋体" w:cs="宋体"/>
                <w:color w:val="000000"/>
                <w:kern w:val="0"/>
              </w:rPr>
              <w:t>3.1总体要求之具象2（涉及2023年、2024年、2025年开设的5门专业基础课程和1门特色服务领域专业基础课程）</w:t>
            </w:r>
            <w:r>
              <w:rPr>
                <w:rFonts w:hint="eastAsia" w:ascii="宋体" w:hAnsi="宋体" w:eastAsia="宋体"/>
              </w:rPr>
              <w:t>，智慧教务平台留存记录</w:t>
            </w:r>
          </w:p>
        </w:tc>
      </w:tr>
      <w:tr w14:paraId="27491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60A75B8C">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0F700019">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56C08AAF">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33953FF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采信情况：专业报送文件和材料及学校网站信息，采信</w:t>
            </w:r>
          </w:p>
          <w:p w14:paraId="7FC442F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20FA5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39384369">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3E7EEF02">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4.6专业技能训练项目</w:t>
            </w:r>
          </w:p>
        </w:tc>
        <w:tc>
          <w:tcPr>
            <w:tcW w:w="2976" w:type="dxa"/>
            <w:tcMar>
              <w:top w:w="57" w:type="dxa"/>
              <w:left w:w="108" w:type="dxa"/>
              <w:bottom w:w="57" w:type="dxa"/>
              <w:right w:w="108" w:type="dxa"/>
            </w:tcMar>
            <w:vAlign w:val="center"/>
          </w:tcPr>
          <w:p w14:paraId="26A3EDBB">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在钳、车、铣、磨、铸、锻、焊、热处理、数字制图等专业基础技能训练领域内开设3项或以上基础技能训练项目</w:t>
            </w:r>
          </w:p>
          <w:p w14:paraId="79E3D5C7">
            <w:pPr>
              <w:adjustRightInd w:val="0"/>
              <w:snapToGrid w:val="0"/>
              <w:jc w:val="left"/>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模具专业在钳工、车工、铣工和AutoCAD等4项专业基础技能领域开设训练项目</w:t>
            </w:r>
          </w:p>
        </w:tc>
        <w:tc>
          <w:tcPr>
            <w:tcW w:w="4684" w:type="dxa"/>
            <w:tcMar>
              <w:top w:w="57" w:type="dxa"/>
              <w:left w:w="108" w:type="dxa"/>
              <w:bottom w:w="57" w:type="dxa"/>
              <w:right w:w="108" w:type="dxa"/>
            </w:tcMar>
            <w:vAlign w:val="center"/>
          </w:tcPr>
          <w:p w14:paraId="348D31FF">
            <w:pPr>
              <w:adjustRightInd w:val="0"/>
              <w:snapToGrid w:val="0"/>
              <w:rPr>
                <w:rFonts w:hint="eastAsia" w:ascii="宋体" w:hAnsi="宋体" w:eastAsia="宋体"/>
              </w:rPr>
            </w:pPr>
            <w:r>
              <w:rPr>
                <w:rFonts w:hint="eastAsia" w:ascii="楷体" w:hAnsi="楷体" w:eastAsia="楷体" w:cs="宋体"/>
                <w:color w:val="000000"/>
                <w:kern w:val="0"/>
              </w:rPr>
              <w:t>判断依据：</w:t>
            </w:r>
            <w:r>
              <w:rPr>
                <w:rFonts w:hint="eastAsia" w:ascii="宋体" w:hAnsi="宋体" w:eastAsia="宋体"/>
              </w:rPr>
              <w:t>在钳、车、铣、磨、铸、锻、焊、热处理、数字制图等专业基础技能训练领域内开设的基础技能训练项目的统计和审核材料</w:t>
            </w:r>
          </w:p>
          <w:p w14:paraId="27C3E379">
            <w:pPr>
              <w:adjustRightInd w:val="0"/>
              <w:snapToGrid w:val="0"/>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4项专业基础技能训练项目智慧教务平台有教学日志留存信息</w:t>
            </w:r>
          </w:p>
        </w:tc>
      </w:tr>
      <w:tr w14:paraId="38867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3F279AEB">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6D6EEF34">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53DB82D1">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27367F8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采信情况：智慧教务平台2023年、2024年、2025年4项专业基础技能训练教学日志，采信</w:t>
            </w:r>
          </w:p>
          <w:p w14:paraId="70C7B562">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0A660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18D61E42">
            <w:pPr>
              <w:adjustRightInd w:val="0"/>
              <w:snapToGrid w:val="0"/>
              <w:ind w:firstLine="0" w:firstLineChars="0"/>
              <w:jc w:val="left"/>
              <w:rPr>
                <w:rFonts w:hint="eastAsia" w:ascii="宋体" w:hAnsi="宋体" w:eastAsia="宋体" w:cs="宋体"/>
                <w:color w:val="000000"/>
                <w:kern w:val="0"/>
              </w:rPr>
            </w:pPr>
            <w:r>
              <w:t>5</w:t>
            </w:r>
            <w:r>
              <w:rPr>
                <w:rFonts w:hint="eastAsia"/>
              </w:rPr>
              <w:t>教学实施</w:t>
            </w:r>
          </w:p>
        </w:tc>
        <w:tc>
          <w:tcPr>
            <w:tcW w:w="1261" w:type="dxa"/>
            <w:tcMar>
              <w:top w:w="57" w:type="dxa"/>
              <w:left w:w="108" w:type="dxa"/>
              <w:bottom w:w="57" w:type="dxa"/>
              <w:right w:w="108" w:type="dxa"/>
            </w:tcMar>
            <w:vAlign w:val="center"/>
          </w:tcPr>
          <w:p w14:paraId="69538684">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5.1教学管理制度</w:t>
            </w:r>
          </w:p>
        </w:tc>
        <w:tc>
          <w:tcPr>
            <w:tcW w:w="2976" w:type="dxa"/>
            <w:tcMar>
              <w:top w:w="57" w:type="dxa"/>
              <w:left w:w="108" w:type="dxa"/>
              <w:bottom w:w="57" w:type="dxa"/>
              <w:right w:w="108" w:type="dxa"/>
            </w:tcMar>
            <w:vAlign w:val="center"/>
          </w:tcPr>
          <w:p w14:paraId="445C6D2A">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有覆盖教学实施全过程的、规范系统的教学管理制度，制度有效执行；教材管理及学生实习符合国家相关要求</w:t>
            </w:r>
          </w:p>
          <w:p w14:paraId="28D4BDB9">
            <w:pPr>
              <w:adjustRightInd w:val="0"/>
              <w:snapToGrid w:val="0"/>
              <w:jc w:val="left"/>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学校有“无锡职业技术学院教师教学工作规范（修订）”等教学管理制度</w:t>
            </w:r>
          </w:p>
          <w:p w14:paraId="047F3768">
            <w:pPr>
              <w:adjustRightInd w:val="0"/>
              <w:snapToGrid w:val="0"/>
              <w:jc w:val="left"/>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学校教材管理参照执行教育部</w:t>
            </w:r>
            <w:r>
              <w:rPr>
                <w:rFonts w:ascii="宋体" w:hAnsi="宋体" w:eastAsia="宋体"/>
                <w:color w:val="000000"/>
                <w:kern w:val="0"/>
              </w:rPr>
              <w:t>《普通高等学校教材管理办法》</w:t>
            </w:r>
          </w:p>
          <w:p w14:paraId="1F7D320D">
            <w:pPr>
              <w:adjustRightInd w:val="0"/>
              <w:snapToGrid w:val="0"/>
              <w:jc w:val="left"/>
              <w:rPr>
                <w:rFonts w:hint="eastAsia" w:ascii="宋体" w:hAnsi="宋体" w:eastAsia="宋体"/>
                <w:color w:val="000000"/>
                <w:kern w:val="0"/>
              </w:rPr>
            </w:pPr>
            <w:r>
              <w:rPr>
                <w:rFonts w:hint="eastAsia" w:ascii="楷体" w:hAnsi="楷体" w:eastAsia="楷体"/>
                <w:color w:val="000000"/>
                <w:kern w:val="0"/>
              </w:rPr>
              <w:t>具象3</w:t>
            </w:r>
            <w:r>
              <w:rPr>
                <w:rFonts w:hint="eastAsia" w:ascii="宋体" w:hAnsi="宋体" w:eastAsia="宋体"/>
                <w:color w:val="000000"/>
                <w:kern w:val="0"/>
              </w:rPr>
              <w:t>：学生实习管理参照执行《</w:t>
            </w:r>
            <w:r>
              <w:rPr>
                <w:rFonts w:ascii="宋体" w:hAnsi="宋体" w:eastAsia="宋体"/>
                <w:color w:val="000000"/>
                <w:kern w:val="0"/>
              </w:rPr>
              <w:t>职业学校学生实习管理规定</w:t>
            </w:r>
            <w:r>
              <w:rPr>
                <w:rFonts w:hint="eastAsia" w:ascii="宋体" w:hAnsi="宋体" w:eastAsia="宋体"/>
                <w:color w:val="000000"/>
                <w:kern w:val="0"/>
              </w:rPr>
              <w:t>》</w:t>
            </w:r>
          </w:p>
          <w:p w14:paraId="20F5E914">
            <w:pPr>
              <w:adjustRightInd w:val="0"/>
              <w:snapToGrid w:val="0"/>
              <w:jc w:val="left"/>
              <w:rPr>
                <w:rFonts w:hint="eastAsia" w:ascii="楷体" w:hAnsi="楷体" w:eastAsia="楷体" w:cs="宋体"/>
                <w:color w:val="000000"/>
                <w:kern w:val="0"/>
              </w:rPr>
            </w:pPr>
            <w:r>
              <w:rPr>
                <w:rFonts w:hint="eastAsia" w:ascii="楷体" w:hAnsi="楷体" w:eastAsia="楷体"/>
                <w:color w:val="000000"/>
                <w:kern w:val="0"/>
              </w:rPr>
              <w:t>具象4</w:t>
            </w:r>
            <w:r>
              <w:rPr>
                <w:rFonts w:hint="eastAsia" w:ascii="宋体" w:hAnsi="宋体" w:eastAsia="宋体"/>
                <w:color w:val="000000"/>
                <w:kern w:val="0"/>
              </w:rPr>
              <w:t>：机械学院有课程教学</w:t>
            </w:r>
            <w:r>
              <w:rPr>
                <w:rFonts w:hint="eastAsia" w:ascii="宋体" w:hAnsi="宋体" w:eastAsia="宋体"/>
              </w:rPr>
              <w:t>管理办法</w:t>
            </w:r>
            <w:r>
              <w:rPr>
                <w:rFonts w:hint="eastAsia" w:ascii="宋体" w:hAnsi="宋体" w:eastAsia="宋体"/>
                <w:color w:val="000000"/>
                <w:kern w:val="0"/>
              </w:rPr>
              <w:t>（听课评价每学期覆盖所有任课教师）</w:t>
            </w:r>
          </w:p>
        </w:tc>
        <w:tc>
          <w:tcPr>
            <w:tcW w:w="4684" w:type="dxa"/>
            <w:tcMar>
              <w:top w:w="57" w:type="dxa"/>
              <w:left w:w="108" w:type="dxa"/>
              <w:bottom w:w="57" w:type="dxa"/>
              <w:right w:w="108" w:type="dxa"/>
            </w:tcMar>
            <w:vAlign w:val="center"/>
          </w:tcPr>
          <w:p w14:paraId="14FB5B44">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教学管理制度及执行情况记录，含课堂教学规范、教学质量监控与督导、校企协同教学管理、信息化教学支持、课程考核管理等制度及执行情况汇总材料；教材管理制度、学生实习管理制度及执行情况记录</w:t>
            </w:r>
          </w:p>
          <w:p w14:paraId="09E8FF9F">
            <w:pPr>
              <w:adjustRightInd w:val="0"/>
              <w:snapToGrid w:val="0"/>
              <w:rPr>
                <w:rFonts w:hint="eastAsia" w:ascii="宋体" w:hAnsi="宋体" w:eastAsia="宋体"/>
              </w:rPr>
            </w:pPr>
            <w:r>
              <w:rPr>
                <w:rFonts w:hint="eastAsia" w:ascii="楷体" w:hAnsi="楷体" w:eastAsia="楷体"/>
              </w:rPr>
              <w:t>具象1：</w:t>
            </w:r>
            <w:r>
              <w:rPr>
                <w:rFonts w:hint="eastAsia" w:cs="宋体"/>
                <w:color w:val="000000"/>
                <w:kern w:val="0"/>
              </w:rPr>
              <w:t>同2.1判断依据之具象2</w:t>
            </w:r>
          </w:p>
          <w:p w14:paraId="4AA327EA">
            <w:pPr>
              <w:adjustRightInd w:val="0"/>
              <w:snapToGrid w:val="0"/>
              <w:rPr>
                <w:rFonts w:hint="eastAsia" w:ascii="宋体" w:hAnsi="宋体" w:eastAsia="宋体"/>
              </w:rPr>
            </w:pPr>
            <w:r>
              <w:rPr>
                <w:rFonts w:hint="eastAsia" w:ascii="楷体" w:hAnsi="楷体" w:eastAsia="楷体"/>
              </w:rPr>
              <w:t>具象2：</w:t>
            </w:r>
            <w:r>
              <w:rPr>
                <w:rFonts w:hint="eastAsia" w:ascii="宋体" w:hAnsi="宋体" w:eastAsia="宋体"/>
              </w:rPr>
              <w:t>本专业每学期教材选用记录</w:t>
            </w:r>
          </w:p>
          <w:p w14:paraId="703F1BD7">
            <w:pPr>
              <w:adjustRightInd w:val="0"/>
              <w:snapToGrid w:val="0"/>
              <w:rPr>
                <w:rFonts w:hint="eastAsia" w:ascii="宋体" w:hAnsi="宋体" w:eastAsia="宋体"/>
              </w:rPr>
            </w:pPr>
            <w:r>
              <w:rPr>
                <w:rFonts w:hint="eastAsia" w:ascii="楷体" w:hAnsi="楷体" w:eastAsia="楷体"/>
              </w:rPr>
              <w:t>具象3：</w:t>
            </w:r>
            <w:r>
              <w:rPr>
                <w:rFonts w:hint="eastAsia" w:ascii="宋体" w:hAnsi="宋体" w:eastAsia="宋体"/>
              </w:rPr>
              <w:t>本专业顶岗实习过程管理日志（智慧教务平台查阅记录）</w:t>
            </w:r>
          </w:p>
          <w:p w14:paraId="401BED28">
            <w:pPr>
              <w:adjustRightInd w:val="0"/>
              <w:snapToGrid w:val="0"/>
              <w:rPr>
                <w:rFonts w:hint="eastAsia" w:ascii="楷体" w:hAnsi="楷体" w:eastAsia="楷体" w:cs="宋体"/>
                <w:color w:val="000000"/>
                <w:kern w:val="0"/>
              </w:rPr>
            </w:pPr>
            <w:r>
              <w:rPr>
                <w:rFonts w:hint="eastAsia" w:ascii="楷体" w:hAnsi="楷体" w:eastAsia="楷体"/>
              </w:rPr>
              <w:t>具象4：</w:t>
            </w:r>
            <w:r>
              <w:rPr>
                <w:rFonts w:hint="eastAsia" w:ascii="宋体" w:hAnsi="宋体" w:eastAsia="宋体"/>
              </w:rPr>
              <w:t>机械工程学院学期听课评价记录及年度课程教学质量评价结果材料</w:t>
            </w:r>
          </w:p>
        </w:tc>
      </w:tr>
      <w:tr w14:paraId="32C8E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063400CE">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40F9529">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34DA13D2">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2D373588">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采信情况：学校文件和具象依据的原始文件，采信</w:t>
            </w:r>
          </w:p>
          <w:p w14:paraId="3A0D7EDE">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24709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60C71783">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50DDD7ED">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5.2课程教学目标与内容</w:t>
            </w:r>
          </w:p>
        </w:tc>
        <w:tc>
          <w:tcPr>
            <w:tcW w:w="2976" w:type="dxa"/>
            <w:tcMar>
              <w:top w:w="57" w:type="dxa"/>
              <w:left w:w="108" w:type="dxa"/>
              <w:bottom w:w="57" w:type="dxa"/>
              <w:right w:w="108" w:type="dxa"/>
            </w:tcMar>
            <w:vAlign w:val="center"/>
          </w:tcPr>
          <w:p w14:paraId="69B1890B">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课程教学体现正确的政治方向和价值导向；课程教学目标明确、公开、可测、可达，并对接毕业要求；课程教学内容聚焦教学目标，体现科学性、先进性、职业性、适宜性现科学性、先进性、职业性、适宜性</w:t>
            </w:r>
          </w:p>
          <w:p w14:paraId="5AE3650E">
            <w:pPr>
              <w:adjustRightInd w:val="0"/>
              <w:snapToGrid w:val="0"/>
              <w:jc w:val="left"/>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学校每年度人才培养方案修订意见有明确的正确政治方向和价值导向的要求</w:t>
            </w:r>
          </w:p>
          <w:p w14:paraId="60A89FCD">
            <w:pPr>
              <w:adjustRightInd w:val="0"/>
              <w:snapToGrid w:val="0"/>
              <w:jc w:val="left"/>
              <w:rPr>
                <w:rFonts w:hint="eastAsia" w:ascii="宋体" w:hAnsi="宋体" w:eastAsia="宋体"/>
                <w:color w:val="000000"/>
                <w:kern w:val="0"/>
              </w:rPr>
            </w:pPr>
            <w:r>
              <w:rPr>
                <w:rFonts w:hint="eastAsia" w:ascii="宋体" w:hAnsi="宋体" w:eastAsia="宋体"/>
                <w:color w:val="000000"/>
                <w:kern w:val="0"/>
              </w:rPr>
              <w:t>具象2：模具设计与制造专业课程是根据“毕业要求-课程”矩阵表得到教学目标</w:t>
            </w:r>
          </w:p>
          <w:p w14:paraId="400773E2">
            <w:pPr>
              <w:adjustRightInd w:val="0"/>
              <w:snapToGrid w:val="0"/>
              <w:jc w:val="left"/>
              <w:rPr>
                <w:rFonts w:hint="eastAsia" w:ascii="楷体" w:hAnsi="楷体" w:eastAsia="楷体" w:cs="宋体"/>
                <w:color w:val="000000"/>
                <w:kern w:val="0"/>
              </w:rPr>
            </w:pPr>
            <w:r>
              <w:rPr>
                <w:rFonts w:hint="eastAsia" w:ascii="宋体" w:hAnsi="宋体" w:eastAsia="宋体"/>
                <w:color w:val="000000"/>
                <w:kern w:val="0"/>
              </w:rPr>
              <w:t>具象3：课程教学内容按课程标准设计执行</w:t>
            </w:r>
          </w:p>
        </w:tc>
        <w:tc>
          <w:tcPr>
            <w:tcW w:w="4684" w:type="dxa"/>
            <w:tcMar>
              <w:top w:w="57" w:type="dxa"/>
              <w:left w:w="108" w:type="dxa"/>
              <w:bottom w:w="57" w:type="dxa"/>
              <w:right w:w="108" w:type="dxa"/>
            </w:tcMar>
            <w:vAlign w:val="center"/>
          </w:tcPr>
          <w:p w14:paraId="78F57AF7">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课程思政的审核与落实汇总材料；课程教学目标、教学内容与本课程承接毕业要求的一致性审核材料；课程教学目标的确立依据、教学内容的组织逻辑分析材料，新技术、新装备、新工艺、新材料等企业项目或案例纳入课程的材料</w:t>
            </w:r>
          </w:p>
          <w:p w14:paraId="7C7B5C13">
            <w:pPr>
              <w:adjustRightInd w:val="0"/>
              <w:snapToGrid w:val="0"/>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各课程教学标准文本（落实了课程思政教学内容）</w:t>
            </w:r>
          </w:p>
          <w:p w14:paraId="238838F8">
            <w:pPr>
              <w:adjustRightInd w:val="0"/>
              <w:snapToGrid w:val="0"/>
              <w:rPr>
                <w:rFonts w:hint="eastAsia" w:ascii="宋体" w:hAnsi="宋体" w:eastAsia="宋体" w:cs="宋体"/>
                <w:kern w:val="0"/>
              </w:rPr>
            </w:pPr>
            <w:r>
              <w:rPr>
                <w:rFonts w:hint="eastAsia" w:ascii="楷体" w:hAnsi="楷体" w:eastAsia="楷体"/>
                <w:color w:val="000000"/>
                <w:kern w:val="0"/>
              </w:rPr>
              <w:t>具象2：</w:t>
            </w:r>
            <w:r>
              <w:rPr>
                <w:rFonts w:hint="eastAsia" w:ascii="宋体" w:hAnsi="宋体" w:eastAsia="宋体"/>
              </w:rPr>
              <w:t>同</w:t>
            </w:r>
            <w:r>
              <w:rPr>
                <w:rFonts w:hint="eastAsia" w:ascii="宋体" w:hAnsi="宋体" w:eastAsia="宋体" w:cs="宋体"/>
                <w:kern w:val="0"/>
              </w:rPr>
              <w:t>2.1目标定位之判断依据具象2（该编制说明中有毕业要求与承接课程矩阵表，描述了课程教学目标依据、有年度四新进课程的要求汇总表）</w:t>
            </w:r>
          </w:p>
          <w:p w14:paraId="3BFE4382">
            <w:pPr>
              <w:adjustRightInd w:val="0"/>
              <w:snapToGrid w:val="0"/>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rPr>
              <w:t>2023年、2024年、2025年四新进课程的课程标准材料和智慧教务平台四新案例教学日志</w:t>
            </w:r>
          </w:p>
        </w:tc>
      </w:tr>
      <w:tr w14:paraId="6E6E1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0F10562C">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00C69D2C">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5E884386">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具象与依据：基本符合</w:t>
            </w:r>
          </w:p>
          <w:p w14:paraId="2C9361C5">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采信情况：教学原始文件，四新案例进课程数量少（每年不足10%）</w:t>
            </w:r>
          </w:p>
          <w:p w14:paraId="2D1A8BB3">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B</w:t>
            </w:r>
          </w:p>
        </w:tc>
      </w:tr>
      <w:tr w14:paraId="13A29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0F73E4EA">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6C21AC90">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5.3课堂教学</w:t>
            </w:r>
          </w:p>
        </w:tc>
        <w:tc>
          <w:tcPr>
            <w:tcW w:w="2976" w:type="dxa"/>
            <w:tcMar>
              <w:top w:w="57" w:type="dxa"/>
              <w:left w:w="108" w:type="dxa"/>
              <w:bottom w:w="57" w:type="dxa"/>
              <w:right w:w="108" w:type="dxa"/>
            </w:tcMar>
            <w:vAlign w:val="center"/>
          </w:tcPr>
          <w:p w14:paraId="62E5FC0F">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根据学生的学习现状、资源条件和具体的教学内容，采取适宜的教学策略、方式和手段，提升学生课堂学习专注度，动态掌控课堂教学目标的达成</w:t>
            </w:r>
          </w:p>
          <w:p w14:paraId="2C03AD15">
            <w:pPr>
              <w:adjustRightInd w:val="0"/>
              <w:snapToGrid w:val="0"/>
              <w:jc w:val="left"/>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专业要求每次课学生提交当堂记录作为提升课堂学习专注度的日常措施</w:t>
            </w:r>
          </w:p>
          <w:p w14:paraId="2413CC1B">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专业严格执行每课课余辅导、考前辅导制度</w:t>
            </w:r>
          </w:p>
          <w:p w14:paraId="2689FA9B">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部分课程设置了关键项目学生当堂评测环节，以动态掌控教学目标达成度</w:t>
            </w:r>
          </w:p>
        </w:tc>
        <w:tc>
          <w:tcPr>
            <w:tcW w:w="4684" w:type="dxa"/>
            <w:tcMar>
              <w:top w:w="57" w:type="dxa"/>
              <w:left w:w="108" w:type="dxa"/>
              <w:bottom w:w="57" w:type="dxa"/>
              <w:right w:w="108" w:type="dxa"/>
            </w:tcMar>
            <w:vAlign w:val="center"/>
          </w:tcPr>
          <w:p w14:paraId="165FDB23">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近三年教师课堂教学记录、教学反思材料，课堂教学管理与督导反馈材料，发现的教学难题以及解决方案，解决或缓解教学难题的汇总材料；课程的教学辅导记录，针对学有困难学生的个性化指导记录等汇总材料料</w:t>
            </w:r>
          </w:p>
          <w:p w14:paraId="7666847C">
            <w:pPr>
              <w:adjustRightInd w:val="0"/>
              <w:snapToGrid w:val="0"/>
              <w:rPr>
                <w:rFonts w:hint="eastAsia" w:ascii="楷体" w:hAnsi="楷体" w:eastAsia="楷体"/>
                <w:color w:val="000000"/>
                <w:kern w:val="0"/>
              </w:rPr>
            </w:pPr>
            <w:r>
              <w:rPr>
                <w:rFonts w:hint="eastAsia" w:ascii="楷体" w:hAnsi="楷体" w:eastAsia="楷体"/>
                <w:color w:val="000000"/>
                <w:kern w:val="0"/>
              </w:rPr>
              <w:t>具象1：</w:t>
            </w:r>
            <w:r>
              <w:rPr>
                <w:rFonts w:hint="eastAsia" w:ascii="宋体" w:hAnsi="宋体" w:eastAsia="宋体"/>
                <w:color w:val="000000"/>
                <w:kern w:val="0"/>
              </w:rPr>
              <w:t>学生提交当堂记录（电子版，机械学院归档资料）</w:t>
            </w:r>
          </w:p>
          <w:p w14:paraId="55F580C8">
            <w:pPr>
              <w:adjustRightInd w:val="0"/>
              <w:snapToGrid w:val="0"/>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智慧教务平台</w:t>
            </w:r>
            <w:r>
              <w:rPr>
                <w:rFonts w:hint="eastAsia" w:ascii="宋体" w:hAnsi="宋体" w:eastAsia="宋体"/>
              </w:rPr>
              <w:t>2023年、2024年、2025年各课程</w:t>
            </w:r>
            <w:r>
              <w:rPr>
                <w:rFonts w:hint="eastAsia" w:ascii="宋体" w:hAnsi="宋体" w:eastAsia="宋体"/>
                <w:color w:val="000000"/>
                <w:kern w:val="0"/>
              </w:rPr>
              <w:t>教学日志（有课余辅导记录，包括了学有困难学生的辅导）</w:t>
            </w:r>
          </w:p>
          <w:p w14:paraId="465A5CAF">
            <w:pPr>
              <w:adjustRightInd w:val="0"/>
              <w:snapToGrid w:val="0"/>
              <w:rPr>
                <w:rFonts w:hint="eastAsia" w:ascii="楷体" w:hAnsi="楷体" w:eastAsia="楷体" w:cs="宋体"/>
                <w:color w:val="000000"/>
                <w:kern w:val="0"/>
              </w:rPr>
            </w:pPr>
            <w:r>
              <w:rPr>
                <w:rFonts w:hint="eastAsia" w:ascii="楷体" w:hAnsi="楷体" w:eastAsia="楷体"/>
                <w:color w:val="000000"/>
                <w:kern w:val="0"/>
              </w:rPr>
              <w:t>具象3：</w:t>
            </w:r>
            <w:r>
              <w:rPr>
                <w:rFonts w:hint="eastAsia" w:ascii="宋体" w:hAnsi="宋体" w:eastAsia="宋体" w:cs="宋体"/>
                <w:color w:val="000000"/>
                <w:kern w:val="0"/>
              </w:rPr>
              <w:t>课程关键项目学生当堂评测环节作品有评价表（机械学院归档资料）</w:t>
            </w:r>
          </w:p>
        </w:tc>
      </w:tr>
      <w:tr w14:paraId="63E8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5ED056B8">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799BABA7">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64152B90">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具象与依据：基本符合</w:t>
            </w:r>
          </w:p>
          <w:p w14:paraId="1B3523EF">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采信情况：机械学院归档资料，采信</w:t>
            </w:r>
          </w:p>
          <w:p w14:paraId="60B03B8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A</w:t>
            </w:r>
          </w:p>
        </w:tc>
      </w:tr>
      <w:tr w14:paraId="7C698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66413300">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6E4E7CB6">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5.4课程考核</w:t>
            </w:r>
          </w:p>
        </w:tc>
        <w:tc>
          <w:tcPr>
            <w:tcW w:w="2976" w:type="dxa"/>
            <w:tcMar>
              <w:top w:w="57" w:type="dxa"/>
              <w:left w:w="108" w:type="dxa"/>
              <w:bottom w:w="57" w:type="dxa"/>
              <w:right w:w="108" w:type="dxa"/>
            </w:tcMar>
            <w:vAlign w:val="center"/>
          </w:tcPr>
          <w:p w14:paraId="541339AB">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课程考核项目与课程教学目标一致，体现过程性评价与结果性评价相结合；单门课程成绩合格率宜在75%~95%之间</w:t>
            </w:r>
          </w:p>
          <w:p w14:paraId="0098302A">
            <w:pPr>
              <w:adjustRightInd w:val="0"/>
              <w:snapToGrid w:val="0"/>
              <w:ind w:left="-29" w:leftChars="-16"/>
              <w:jc w:val="left"/>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专业课程标准中设有专门的课程考核项目，已包括了过程考核和结果性评价</w:t>
            </w:r>
          </w:p>
          <w:p w14:paraId="697C62F8">
            <w:pPr>
              <w:adjustRightInd w:val="0"/>
              <w:snapToGrid w:val="0"/>
              <w:jc w:val="left"/>
              <w:rPr>
                <w:rFonts w:hint="eastAsia" w:ascii="楷体" w:hAnsi="楷体" w:eastAsia="楷体" w:cs="宋体"/>
                <w:color w:val="000000"/>
                <w:kern w:val="0"/>
              </w:rPr>
            </w:pPr>
            <w:r>
              <w:rPr>
                <w:rFonts w:hint="eastAsia" w:ascii="楷体" w:hAnsi="楷体" w:eastAsia="楷体"/>
                <w:color w:val="000000"/>
                <w:kern w:val="0"/>
              </w:rPr>
              <w:t>具象2：</w:t>
            </w:r>
            <w:r>
              <w:rPr>
                <w:rFonts w:hint="eastAsia" w:ascii="宋体" w:hAnsi="宋体" w:eastAsia="宋体"/>
              </w:rPr>
              <w:t>2023年、2024年、2025年</w:t>
            </w:r>
            <w:r>
              <w:rPr>
                <w:rFonts w:hint="eastAsia" w:ascii="宋体" w:hAnsi="宋体" w:eastAsia="宋体"/>
                <w:color w:val="000000"/>
                <w:kern w:val="0"/>
              </w:rPr>
              <w:t>课程成绩合格率在</w:t>
            </w:r>
            <w:r>
              <w:rPr>
                <w:rFonts w:ascii="宋体" w:hAnsi="宋体" w:eastAsia="宋体"/>
                <w:color w:val="000000"/>
                <w:kern w:val="0"/>
              </w:rPr>
              <w:t>75%</w:t>
            </w:r>
            <w:r>
              <w:rPr>
                <w:rFonts w:ascii="Times New Roman" w:hAnsi="Times New Roman" w:eastAsia="宋体"/>
                <w:color w:val="000000"/>
                <w:kern w:val="0"/>
              </w:rPr>
              <w:t>~</w:t>
            </w:r>
            <w:r>
              <w:rPr>
                <w:rFonts w:ascii="宋体" w:hAnsi="宋体" w:eastAsia="宋体"/>
                <w:color w:val="000000"/>
                <w:kern w:val="0"/>
              </w:rPr>
              <w:t>95%之间</w:t>
            </w:r>
            <w:r>
              <w:rPr>
                <w:rFonts w:hint="eastAsia" w:ascii="宋体" w:hAnsi="宋体" w:eastAsia="宋体"/>
                <w:color w:val="000000"/>
                <w:kern w:val="0"/>
              </w:rPr>
              <w:t>的课程占比达到了92%</w:t>
            </w:r>
          </w:p>
        </w:tc>
        <w:tc>
          <w:tcPr>
            <w:tcW w:w="4684" w:type="dxa"/>
            <w:tcMar>
              <w:top w:w="57" w:type="dxa"/>
              <w:left w:w="108" w:type="dxa"/>
              <w:bottom w:w="57" w:type="dxa"/>
              <w:right w:w="108" w:type="dxa"/>
            </w:tcMar>
            <w:vAlign w:val="center"/>
          </w:tcPr>
          <w:p w14:paraId="63EDA846">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课程考核项目与课程教学目标一致性审核材料，过程性评价与结果性评价的比例分配审核材料；近三年课程考核的原始材料；近三年各课程的合格率、课程教学目标达成情况分析材料</w:t>
            </w:r>
          </w:p>
          <w:p w14:paraId="2F5D651D">
            <w:pPr>
              <w:adjustRightInd w:val="0"/>
              <w:snapToGrid w:val="0"/>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专业课程标准文本（智慧教务平台可查阅）</w:t>
            </w:r>
          </w:p>
          <w:p w14:paraId="2CFCE1A7">
            <w:pPr>
              <w:adjustRightInd w:val="0"/>
              <w:snapToGrid w:val="0"/>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课程成绩合格率（智慧教务平台可查阅课程成绩的直方图）</w:t>
            </w:r>
          </w:p>
        </w:tc>
      </w:tr>
      <w:tr w14:paraId="76FEE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788D6FC3">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650577F6">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1DD7F668">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具象与依据：基本符合</w:t>
            </w:r>
          </w:p>
          <w:p w14:paraId="0114A5B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采信情况：智慧教务平台查阅并抽查原始机械学院归档材料，采信</w:t>
            </w:r>
          </w:p>
          <w:p w14:paraId="1025035E">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A</w:t>
            </w:r>
          </w:p>
        </w:tc>
      </w:tr>
      <w:tr w14:paraId="33931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2C638722">
            <w:pPr>
              <w:adjustRightInd w:val="0"/>
              <w:snapToGrid w:val="0"/>
              <w:ind w:firstLine="0" w:firstLineChars="0"/>
              <w:jc w:val="left"/>
              <w:rPr>
                <w:rFonts w:hint="eastAsia" w:ascii="宋体" w:hAnsi="宋体" w:eastAsia="宋体" w:cs="宋体"/>
                <w:color w:val="000000"/>
                <w:kern w:val="0"/>
              </w:rPr>
            </w:pPr>
            <w:r>
              <w:t>6</w:t>
            </w:r>
            <w:r>
              <w:rPr>
                <w:rFonts w:hint="eastAsia"/>
              </w:rPr>
              <w:t>持续改进</w:t>
            </w:r>
          </w:p>
        </w:tc>
        <w:tc>
          <w:tcPr>
            <w:tcW w:w="1261" w:type="dxa"/>
            <w:tcMar>
              <w:top w:w="57" w:type="dxa"/>
              <w:left w:w="108" w:type="dxa"/>
              <w:bottom w:w="57" w:type="dxa"/>
              <w:right w:w="108" w:type="dxa"/>
            </w:tcMar>
            <w:vAlign w:val="center"/>
          </w:tcPr>
          <w:p w14:paraId="0143FB19">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6.1内部质量监控机制</w:t>
            </w:r>
          </w:p>
        </w:tc>
        <w:tc>
          <w:tcPr>
            <w:tcW w:w="2976" w:type="dxa"/>
            <w:tcMar>
              <w:top w:w="57" w:type="dxa"/>
              <w:left w:w="108" w:type="dxa"/>
              <w:bottom w:w="57" w:type="dxa"/>
              <w:right w:w="108" w:type="dxa"/>
            </w:tcMar>
            <w:vAlign w:val="center"/>
          </w:tcPr>
          <w:p w14:paraId="28049618">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明确各主要教学环节的质量要求，建立常态化质量监控机制</w:t>
            </w:r>
          </w:p>
          <w:p w14:paraId="52FEF069">
            <w:pPr>
              <w:adjustRightInd w:val="0"/>
              <w:snapToGrid w:val="0"/>
              <w:jc w:val="left"/>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学校设有质控部，负责常态化质量监控活动</w:t>
            </w:r>
          </w:p>
        </w:tc>
        <w:tc>
          <w:tcPr>
            <w:tcW w:w="4684" w:type="dxa"/>
            <w:tcMar>
              <w:top w:w="57" w:type="dxa"/>
              <w:left w:w="108" w:type="dxa"/>
              <w:bottom w:w="57" w:type="dxa"/>
              <w:right w:w="108" w:type="dxa"/>
            </w:tcMar>
            <w:vAlign w:val="center"/>
          </w:tcPr>
          <w:p w14:paraId="1959BB62">
            <w:pPr>
              <w:adjustRightInd w:val="0"/>
              <w:snapToGrid w:val="0"/>
              <w:rPr>
                <w:rFonts w:hint="eastAsia"/>
              </w:rPr>
            </w:pPr>
            <w:r>
              <w:rPr>
                <w:rFonts w:hint="eastAsia" w:ascii="楷体" w:hAnsi="楷体" w:eastAsia="楷体" w:cs="宋体"/>
                <w:color w:val="000000"/>
                <w:kern w:val="0"/>
              </w:rPr>
              <w:t>判断依据：</w:t>
            </w:r>
            <w:r>
              <w:rPr>
                <w:rFonts w:hint="eastAsia"/>
              </w:rPr>
              <w:t>包括专业人才培养的“方案设计、实施过程、评价改进”在内的质量监控制度汇总文本，制度执行记录</w:t>
            </w:r>
          </w:p>
          <w:p w14:paraId="2276687C">
            <w:pPr>
              <w:adjustRightInd w:val="0"/>
              <w:snapToGrid w:val="0"/>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2023年、2024年、2025年本专业教研活动执行学期常态诊改和学年改进的记录</w:t>
            </w:r>
          </w:p>
        </w:tc>
      </w:tr>
      <w:tr w14:paraId="1A480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2C7D6FE3">
            <w:pPr>
              <w:adjustRightInd w:val="0"/>
              <w:snapToGrid w:val="0"/>
              <w:ind w:firstLine="0" w:firstLineChars="0"/>
              <w:jc w:val="right"/>
              <w:rPr>
                <w:rFonts w:hint="eastAsia" w:ascii="宋体" w:hAnsi="宋体" w:eastAsia="宋体"/>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633A229E">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484EE85B">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1634C68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采信情况：学校文件、学校机构走访、专业教研活动相关记录，采信</w:t>
            </w:r>
          </w:p>
          <w:p w14:paraId="01B1BA63">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1934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5929A88E">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2E343198">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6.2毕业生随访与社会评价机制</w:t>
            </w:r>
          </w:p>
        </w:tc>
        <w:tc>
          <w:tcPr>
            <w:tcW w:w="2976" w:type="dxa"/>
            <w:tcMar>
              <w:top w:w="57" w:type="dxa"/>
              <w:left w:w="108" w:type="dxa"/>
              <w:bottom w:w="57" w:type="dxa"/>
              <w:right w:w="108" w:type="dxa"/>
            </w:tcMar>
            <w:vAlign w:val="center"/>
          </w:tcPr>
          <w:p w14:paraId="235F5E2D">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建立毕业生随访反馈机制、用人单位评价反馈机制；每年对专业培养目标达成情况进行外部评价</w:t>
            </w:r>
          </w:p>
          <w:p w14:paraId="1CACA28A">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学校有毕业生随访反馈制度</w:t>
            </w:r>
          </w:p>
          <w:p w14:paraId="25E458D5">
            <w:pPr>
              <w:adjustRightInd w:val="0"/>
              <w:snapToGrid w:val="0"/>
              <w:jc w:val="left"/>
              <w:rPr>
                <w:rFonts w:hint="eastAsia" w:ascii="宋体" w:hAnsi="宋体" w:eastAsia="宋体"/>
              </w:rPr>
            </w:pPr>
            <w:r>
              <w:rPr>
                <w:rFonts w:hint="eastAsia" w:ascii="楷体" w:hAnsi="楷体" w:eastAsia="楷体"/>
              </w:rPr>
              <w:t>具象2：</w:t>
            </w:r>
            <w:r>
              <w:rPr>
                <w:rFonts w:hint="eastAsia" w:ascii="宋体" w:hAnsi="宋体" w:eastAsia="宋体"/>
              </w:rPr>
              <w:t>2023年、2024年、2025年本专业开展用人单位调研</w:t>
            </w:r>
          </w:p>
          <w:p w14:paraId="4430AEE8">
            <w:pPr>
              <w:adjustRightInd w:val="0"/>
              <w:snapToGrid w:val="0"/>
              <w:jc w:val="left"/>
              <w:rPr>
                <w:rFonts w:hint="eastAsia" w:ascii="楷体" w:hAnsi="楷体" w:eastAsia="楷体" w:cs="宋体"/>
                <w:color w:val="000000"/>
                <w:kern w:val="0"/>
              </w:rPr>
            </w:pPr>
            <w:r>
              <w:rPr>
                <w:rFonts w:hint="eastAsia" w:ascii="楷体" w:hAnsi="楷体" w:eastAsia="楷体"/>
              </w:rPr>
              <w:t>具象3：</w:t>
            </w:r>
            <w:r>
              <w:rPr>
                <w:rFonts w:hint="eastAsia" w:ascii="宋体" w:hAnsi="宋体" w:eastAsia="宋体"/>
              </w:rPr>
              <w:t>2023年、2024年、2025年本专业委托麦可思公司、无锡市机械工业联合会进行了专业培养目标达成情况评价</w:t>
            </w:r>
          </w:p>
        </w:tc>
        <w:tc>
          <w:tcPr>
            <w:tcW w:w="4684" w:type="dxa"/>
            <w:tcMar>
              <w:top w:w="57" w:type="dxa"/>
              <w:left w:w="108" w:type="dxa"/>
              <w:bottom w:w="57" w:type="dxa"/>
              <w:right w:w="108" w:type="dxa"/>
            </w:tcMar>
            <w:vAlign w:val="center"/>
          </w:tcPr>
          <w:p w14:paraId="1AB2D7B8">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毕业生随访反馈、毕业生用人单位评价与反馈制度汇总文本，制度执行记录；近三年专业毕业生基本信息和就业状况汇总表；近三年毕业生、用人单位对专业培养目标达成情况的反馈分析报告</w:t>
            </w:r>
          </w:p>
          <w:p w14:paraId="5A0A74BA">
            <w:pPr>
              <w:adjustRightInd w:val="0"/>
              <w:snapToGrid w:val="0"/>
              <w:rPr>
                <w:rFonts w:hint="eastAsia" w:ascii="宋体" w:hAnsi="宋体" w:eastAsia="宋体"/>
              </w:rPr>
            </w:pPr>
            <w:r>
              <w:rPr>
                <w:rFonts w:hint="eastAsia" w:ascii="楷体" w:hAnsi="楷体" w:eastAsia="楷体"/>
              </w:rPr>
              <w:t>具象1：</w:t>
            </w:r>
            <w:r>
              <w:rPr>
                <w:rFonts w:hint="eastAsia" w:ascii="宋体" w:hAnsi="宋体" w:eastAsia="宋体"/>
              </w:rPr>
              <w:t>学校毕业生随访制度文本（非正式发布文件）</w:t>
            </w:r>
          </w:p>
          <w:p w14:paraId="5E2CD6F7">
            <w:pPr>
              <w:adjustRightInd w:val="0"/>
              <w:snapToGrid w:val="0"/>
              <w:rPr>
                <w:rFonts w:hint="eastAsia" w:ascii="宋体" w:hAnsi="宋体" w:eastAsia="宋体"/>
              </w:rPr>
            </w:pPr>
            <w:r>
              <w:rPr>
                <w:rFonts w:hint="eastAsia" w:ascii="楷体" w:hAnsi="楷体" w:eastAsia="楷体"/>
              </w:rPr>
              <w:t>具象2：</w:t>
            </w:r>
            <w:r>
              <w:rPr>
                <w:rFonts w:hint="eastAsia" w:ascii="宋体" w:hAnsi="宋体" w:eastAsia="宋体"/>
              </w:rPr>
              <w:t>同</w:t>
            </w:r>
            <w:r>
              <w:rPr>
                <w:rFonts w:hint="eastAsia" w:ascii="宋体" w:hAnsi="宋体" w:eastAsia="宋体" w:cs="宋体"/>
                <w:color w:val="000000"/>
                <w:kern w:val="0"/>
              </w:rPr>
              <w:t>3.1总体要求之判断依据具象3</w:t>
            </w:r>
            <w:r>
              <w:rPr>
                <w:rFonts w:hint="eastAsia" w:ascii="宋体" w:hAnsi="宋体" w:eastAsia="宋体"/>
              </w:rPr>
              <w:t xml:space="preserve"> （样本数少）</w:t>
            </w:r>
          </w:p>
          <w:p w14:paraId="793FA1EF">
            <w:pPr>
              <w:adjustRightInd w:val="0"/>
              <w:snapToGrid w:val="0"/>
              <w:rPr>
                <w:rFonts w:hint="eastAsia" w:ascii="楷体" w:hAnsi="楷体" w:eastAsia="楷体" w:cs="宋体"/>
                <w:color w:val="000000"/>
                <w:kern w:val="0"/>
              </w:rPr>
            </w:pPr>
            <w:r>
              <w:rPr>
                <w:rFonts w:hint="eastAsia" w:ascii="楷体" w:hAnsi="楷体" w:eastAsia="楷体"/>
              </w:rPr>
              <w:t>具象3：</w:t>
            </w:r>
            <w:r>
              <w:rPr>
                <w:rFonts w:hint="eastAsia" w:ascii="宋体" w:hAnsi="宋体" w:eastAsia="宋体"/>
              </w:rPr>
              <w:t>2023年、2024年、2025年第三方机构对本专业培养目标达成情况评价（年份有缺漏）</w:t>
            </w:r>
          </w:p>
        </w:tc>
      </w:tr>
      <w:tr w14:paraId="4CC4A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07EFA54B">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0FA4D690">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41C7FB26">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2FFABA6C">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采信情况：学校文件、专业报送文件材料和学校网站信息，部分采信</w:t>
            </w:r>
          </w:p>
          <w:p w14:paraId="40CE7E0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查证结果：B</w:t>
            </w:r>
          </w:p>
        </w:tc>
      </w:tr>
      <w:tr w14:paraId="4CA10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2FFDD837">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385C8C4C">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6.3反馈与改进</w:t>
            </w:r>
          </w:p>
        </w:tc>
        <w:tc>
          <w:tcPr>
            <w:tcW w:w="2976" w:type="dxa"/>
            <w:tcMar>
              <w:top w:w="57" w:type="dxa"/>
              <w:left w:w="108" w:type="dxa"/>
              <w:bottom w:w="57" w:type="dxa"/>
              <w:right w:w="108" w:type="dxa"/>
            </w:tcMar>
            <w:vAlign w:val="center"/>
          </w:tcPr>
          <w:p w14:paraId="517F230A">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定期对内部与外部评价结果进行综合分析，评价结果被用于专业与课程的诊断与改进</w:t>
            </w:r>
          </w:p>
          <w:p w14:paraId="157011E6">
            <w:pPr>
              <w:adjustRightInd w:val="0"/>
              <w:snapToGrid w:val="0"/>
              <w:jc w:val="left"/>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2023年、2024年、2025年本专业开展内外部评价结果分析活动，并用于培养目标、毕业要求达成、课程体系、教学实施的持续改进</w:t>
            </w:r>
          </w:p>
        </w:tc>
        <w:tc>
          <w:tcPr>
            <w:tcW w:w="4684" w:type="dxa"/>
            <w:tcMar>
              <w:top w:w="57" w:type="dxa"/>
              <w:left w:w="108" w:type="dxa"/>
              <w:bottom w:w="57" w:type="dxa"/>
              <w:right w:w="108" w:type="dxa"/>
            </w:tcMar>
            <w:vAlign w:val="center"/>
          </w:tcPr>
          <w:p w14:paraId="076B612D">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针对内部与外部评价的专题教研活记录，对发现的问题所采取的措施；各种监控与评价结果被用于近三年培养目标、毕业要求、课程体系、教学实施等持续改进的汇总材料；近三年课程、专业诊断与改进报告，毕业要求达成情况分析报告</w:t>
            </w:r>
          </w:p>
          <w:p w14:paraId="3D7BACCD">
            <w:pPr>
              <w:adjustRightInd w:val="0"/>
              <w:snapToGrid w:val="0"/>
              <w:rPr>
                <w:rFonts w:hint="eastAsia" w:ascii="楷体" w:hAnsi="楷体" w:eastAsia="楷体" w:cs="宋体"/>
                <w:color w:val="000000"/>
                <w:kern w:val="0"/>
              </w:rPr>
            </w:pPr>
            <w:r>
              <w:rPr>
                <w:rFonts w:hint="eastAsia" w:ascii="楷体" w:hAnsi="楷体" w:eastAsia="楷体"/>
              </w:rPr>
              <w:t>具象1：同</w:t>
            </w:r>
            <w:r>
              <w:rPr>
                <w:rFonts w:hint="eastAsia" w:ascii="宋体" w:hAnsi="宋体" w:eastAsia="宋体" w:cs="宋体"/>
                <w:color w:val="000000"/>
                <w:kern w:val="0"/>
              </w:rPr>
              <w:t>2.2目标修订之判断依据具象1和具象2（均涉及了评价结果分析和改进记录）</w:t>
            </w:r>
            <w:r>
              <w:rPr>
                <w:rFonts w:hint="eastAsia" w:ascii="楷体" w:hAnsi="楷体" w:eastAsia="楷体" w:cs="宋体"/>
                <w:color w:val="000000"/>
                <w:kern w:val="0"/>
              </w:rPr>
              <w:t xml:space="preserve"> </w:t>
            </w:r>
          </w:p>
        </w:tc>
      </w:tr>
      <w:tr w14:paraId="59E4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59026C7E">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D09083F">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6E8E36FE">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60E0B3DE">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采信情况：专业报送材料及学校网站信息，采信</w:t>
            </w:r>
          </w:p>
          <w:p w14:paraId="276146C2">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76F1D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252AEC7A">
            <w:pPr>
              <w:adjustRightInd w:val="0"/>
              <w:snapToGrid w:val="0"/>
              <w:ind w:firstLine="0" w:firstLineChars="0"/>
              <w:jc w:val="left"/>
              <w:rPr>
                <w:rFonts w:hint="eastAsia" w:ascii="宋体" w:hAnsi="宋体" w:eastAsia="宋体" w:cs="宋体"/>
                <w:color w:val="000000"/>
                <w:kern w:val="0"/>
              </w:rPr>
            </w:pPr>
            <w:r>
              <w:t>7</w:t>
            </w:r>
            <w:r>
              <w:rPr>
                <w:rFonts w:hint="eastAsia"/>
              </w:rPr>
              <w:t>师资队伍</w:t>
            </w:r>
          </w:p>
        </w:tc>
        <w:tc>
          <w:tcPr>
            <w:tcW w:w="1261" w:type="dxa"/>
            <w:tcMar>
              <w:top w:w="57" w:type="dxa"/>
              <w:left w:w="108" w:type="dxa"/>
              <w:bottom w:w="57" w:type="dxa"/>
              <w:right w:w="108" w:type="dxa"/>
            </w:tcMar>
            <w:vAlign w:val="center"/>
          </w:tcPr>
          <w:p w14:paraId="7ABEB911">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7.1团队结构与建设机制</w:t>
            </w:r>
          </w:p>
        </w:tc>
        <w:tc>
          <w:tcPr>
            <w:tcW w:w="2976" w:type="dxa"/>
            <w:tcMar>
              <w:top w:w="57" w:type="dxa"/>
              <w:left w:w="108" w:type="dxa"/>
              <w:bottom w:w="57" w:type="dxa"/>
              <w:right w:w="108" w:type="dxa"/>
            </w:tcMar>
            <w:vAlign w:val="center"/>
          </w:tcPr>
          <w:p w14:paraId="01CEBC96">
            <w:pPr>
              <w:adjustRightInd w:val="0"/>
              <w:snapToGrid w:val="0"/>
              <w:jc w:val="left"/>
              <w:rPr>
                <w:rFonts w:hint="eastAsia"/>
              </w:rPr>
            </w:pPr>
            <w:r>
              <w:rPr>
                <w:rFonts w:hint="eastAsia" w:ascii="楷体" w:hAnsi="楷体" w:eastAsia="楷体" w:cs="宋体"/>
                <w:color w:val="000000"/>
                <w:kern w:val="0"/>
              </w:rPr>
              <w:t>判断基准：</w:t>
            </w:r>
            <w:r>
              <w:rPr>
                <w:rFonts w:hint="eastAsia"/>
              </w:rPr>
              <w:t>学校建立完善的教师队伍建设与管理机制；专业生师比不高于25：1；“双师型”教师占专业课教师数比例不低于60%；高级职称专任教师的比例不低于20%</w:t>
            </w:r>
          </w:p>
          <w:p w14:paraId="73258042">
            <w:pPr>
              <w:adjustRightInd w:val="0"/>
              <w:snapToGrid w:val="0"/>
              <w:jc w:val="left"/>
              <w:rPr>
                <w:rFonts w:hint="eastAsia"/>
              </w:rPr>
            </w:pPr>
            <w:r>
              <w:rPr>
                <w:rFonts w:hint="eastAsia" w:ascii="楷体" w:hAnsi="楷体" w:eastAsia="楷体"/>
                <w:color w:val="000000"/>
                <w:kern w:val="0"/>
              </w:rPr>
              <w:t>具象1：</w:t>
            </w:r>
            <w:r>
              <w:rPr>
                <w:rFonts w:hint="eastAsia"/>
              </w:rPr>
              <w:t>学校设立教师工作部，制定了无锡职业技术学院双师型教师认定标准等制度</w:t>
            </w:r>
          </w:p>
          <w:p w14:paraId="00B665E9">
            <w:pPr>
              <w:adjustRightInd w:val="0"/>
              <w:snapToGrid w:val="0"/>
              <w:jc w:val="left"/>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：2023年、2024年、2025年本专业师比为17.7:1</w:t>
            </w:r>
          </w:p>
          <w:p w14:paraId="70703E7C">
            <w:pPr>
              <w:adjustRightInd w:val="0"/>
              <w:snapToGrid w:val="0"/>
              <w:jc w:val="left"/>
              <w:rPr>
                <w:rFonts w:hint="eastAsia" w:ascii="宋体" w:hAnsi="宋体" w:eastAsia="宋体"/>
                <w:color w:val="000000"/>
                <w:kern w:val="0"/>
              </w:rPr>
            </w:pPr>
            <w:r>
              <w:rPr>
                <w:rFonts w:hint="eastAsia" w:ascii="楷体" w:hAnsi="楷体" w:eastAsia="楷体"/>
                <w:color w:val="000000"/>
                <w:kern w:val="0"/>
              </w:rPr>
              <w:t>具象3：</w:t>
            </w:r>
            <w:r>
              <w:rPr>
                <w:rFonts w:hint="eastAsia" w:ascii="宋体" w:hAnsi="宋体" w:eastAsia="宋体"/>
                <w:color w:val="000000"/>
                <w:kern w:val="0"/>
              </w:rPr>
              <w:t>2023年、2024年、2025年本专业“双师型”教师占专业课教师数比例为88.2%</w:t>
            </w:r>
          </w:p>
          <w:p w14:paraId="1D1A06A6">
            <w:pPr>
              <w:adjustRightInd w:val="0"/>
              <w:snapToGrid w:val="0"/>
              <w:jc w:val="left"/>
              <w:rPr>
                <w:rFonts w:hint="eastAsia" w:ascii="楷体" w:hAnsi="楷体" w:eastAsia="楷体" w:cs="宋体"/>
                <w:color w:val="000000"/>
                <w:kern w:val="0"/>
              </w:rPr>
            </w:pPr>
            <w:r>
              <w:rPr>
                <w:rFonts w:hint="eastAsia" w:ascii="楷体" w:hAnsi="楷体" w:eastAsia="楷体"/>
                <w:color w:val="000000"/>
                <w:kern w:val="0"/>
              </w:rPr>
              <w:t>具象4：</w:t>
            </w:r>
            <w:r>
              <w:rPr>
                <w:rFonts w:hint="eastAsia" w:ascii="宋体" w:hAnsi="宋体" w:eastAsia="宋体"/>
                <w:color w:val="000000"/>
                <w:kern w:val="0"/>
              </w:rPr>
              <w:t>本专业高级职称专任教师的比例为53%</w:t>
            </w:r>
          </w:p>
        </w:tc>
        <w:tc>
          <w:tcPr>
            <w:tcW w:w="4684" w:type="dxa"/>
            <w:tcMar>
              <w:top w:w="57" w:type="dxa"/>
              <w:left w:w="108" w:type="dxa"/>
              <w:bottom w:w="57" w:type="dxa"/>
              <w:right w:w="108" w:type="dxa"/>
            </w:tcMar>
            <w:vAlign w:val="center"/>
          </w:tcPr>
          <w:p w14:paraId="0A7DC707">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包括专业教学团队培育与考核制度在内的师资队伍建设与管理制度汇总材料；近三年专业教师基本信息表、专业在校生信息表，专业生师比统计分析材料；近三年专业课程表，教师课程表、教学工作量表等；近三年“双师型”教师占专业课教师数比例统计分析材料；近三年高级职称专任教师的比例统计分析材料</w:t>
            </w:r>
          </w:p>
          <w:p w14:paraId="16491E47">
            <w:pPr>
              <w:adjustRightInd w:val="0"/>
              <w:snapToGrid w:val="0"/>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无锡职业技术学院双师型教师认定标准文件</w:t>
            </w:r>
          </w:p>
          <w:p w14:paraId="0E1B4F41">
            <w:pPr>
              <w:adjustRightInd w:val="0"/>
              <w:snapToGrid w:val="0"/>
              <w:ind w:left="-29" w:leftChars="-16"/>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2023年、2024年、2025年本专业教师基本信息表（机械学院教学归档资料，包括双师型教师、高级职称教师、具有博士学历教师、高等学校教师资格证书、技能等级证书、学历证书等），本专业在校生数报表（状态平台数据采集平台）</w:t>
            </w:r>
          </w:p>
          <w:p w14:paraId="48BC32B3">
            <w:pPr>
              <w:adjustRightInd w:val="0"/>
              <w:snapToGrid w:val="0"/>
              <w:ind w:left="-29" w:leftChars="-16"/>
              <w:rPr>
                <w:rFonts w:hint="eastAsia" w:ascii="宋体" w:hAnsi="宋体" w:eastAsia="宋体"/>
                <w:color w:val="000000"/>
                <w:kern w:val="0"/>
              </w:rPr>
            </w:pPr>
            <w:r>
              <w:rPr>
                <w:rFonts w:hint="eastAsia" w:ascii="楷体" w:hAnsi="楷体" w:eastAsia="楷体"/>
                <w:color w:val="000000"/>
                <w:kern w:val="0"/>
              </w:rPr>
              <w:t>具象3：</w:t>
            </w:r>
            <w:r>
              <w:rPr>
                <w:rFonts w:hint="eastAsia" w:ascii="宋体" w:hAnsi="宋体" w:eastAsia="宋体"/>
                <w:color w:val="000000"/>
                <w:kern w:val="0"/>
              </w:rPr>
              <w:t>2023年、2024年、2025年本专业任课教师教学工作量报表（机械学院教学归档资料）</w:t>
            </w:r>
          </w:p>
        </w:tc>
      </w:tr>
      <w:tr w14:paraId="47F5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37FD869D">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421FF98">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7757136D">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具象与依据：基本符合</w:t>
            </w:r>
          </w:p>
          <w:p w14:paraId="6291390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采信情况：制度文件和状态平台数据，2023年生师比为16.4%，2023年生师比为16.4%，2023年生师比为16.4%</w:t>
            </w:r>
          </w:p>
          <w:p w14:paraId="78469CAF">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A</w:t>
            </w:r>
          </w:p>
        </w:tc>
      </w:tr>
      <w:tr w14:paraId="63777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3CD9535B">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785FACD0">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7.2教学资质与能力</w:t>
            </w:r>
          </w:p>
        </w:tc>
        <w:tc>
          <w:tcPr>
            <w:tcW w:w="2976" w:type="dxa"/>
            <w:tcMar>
              <w:top w:w="57" w:type="dxa"/>
              <w:left w:w="108" w:type="dxa"/>
              <w:bottom w:w="57" w:type="dxa"/>
              <w:right w:w="108" w:type="dxa"/>
            </w:tcMar>
            <w:vAlign w:val="center"/>
          </w:tcPr>
          <w:p w14:paraId="097590D7">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专业教师具有良好的师德师风，教学与研究能力能满足专业教学与改革的需求；专业带头人为具有副高及以上职称的“双师型”教师</w:t>
            </w:r>
          </w:p>
          <w:p w14:paraId="7E424385">
            <w:pPr>
              <w:adjustRightInd w:val="0"/>
              <w:snapToGrid w:val="0"/>
              <w:jc w:val="left"/>
              <w:rPr>
                <w:rFonts w:hint="eastAsia"/>
                <w:color w:val="000000"/>
                <w:kern w:val="0"/>
              </w:rPr>
            </w:pPr>
            <w:r>
              <w:rPr>
                <w:rFonts w:hint="eastAsia" w:ascii="楷体" w:hAnsi="楷体" w:eastAsia="楷体"/>
                <w:color w:val="000000"/>
                <w:kern w:val="0"/>
              </w:rPr>
              <w:t>具象1：</w:t>
            </w:r>
            <w:r>
              <w:rPr>
                <w:rFonts w:hint="eastAsia"/>
                <w:color w:val="000000"/>
                <w:kern w:val="0"/>
              </w:rPr>
              <w:t>本专业教师完成的教学与研究项目</w:t>
            </w:r>
          </w:p>
          <w:p w14:paraId="4F254717">
            <w:pPr>
              <w:adjustRightInd w:val="0"/>
              <w:snapToGrid w:val="0"/>
              <w:jc w:val="left"/>
              <w:rPr>
                <w:rFonts w:hint="eastAsia" w:ascii="楷体" w:hAnsi="楷体" w:eastAsia="楷体" w:cs="宋体"/>
                <w:color w:val="000000"/>
                <w:kern w:val="0"/>
              </w:rPr>
            </w:pPr>
            <w:r>
              <w:rPr>
                <w:rFonts w:hint="eastAsia"/>
                <w:color w:val="000000"/>
                <w:kern w:val="0"/>
              </w:rPr>
              <w:t>具象2：本专业带头人为XXX教授</w:t>
            </w:r>
          </w:p>
        </w:tc>
        <w:tc>
          <w:tcPr>
            <w:tcW w:w="4684" w:type="dxa"/>
            <w:tcMar>
              <w:top w:w="57" w:type="dxa"/>
              <w:left w:w="108" w:type="dxa"/>
              <w:bottom w:w="57" w:type="dxa"/>
              <w:right w:w="108" w:type="dxa"/>
            </w:tcMar>
            <w:vAlign w:val="center"/>
          </w:tcPr>
          <w:p w14:paraId="64252E45">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教师持有的省市级认定机构颁发的高等学校教师资格证书、大学本科及以上毕业学历的统计分析材料；近三年专业教师结项的校级或以上教学研究项目、发表的教学研究论文的汇总材料；近三年新入职专业教师和新聘的兼职教师接受教学基本规范培训，取得校级及以上的合格证书的汇总材料；近五年专业教师持有与本专业相关的专业或职业技能等证书汇总材料；专业带头人基本情况表和任命文件</w:t>
            </w:r>
          </w:p>
          <w:p w14:paraId="016D0302">
            <w:pPr>
              <w:adjustRightInd w:val="0"/>
              <w:snapToGrid w:val="0"/>
              <w:rPr>
                <w:rFonts w:hint="eastAsia" w:ascii="楷体" w:hAnsi="楷体" w:eastAsia="楷体"/>
                <w:color w:val="000000"/>
                <w:kern w:val="0"/>
              </w:rPr>
            </w:pPr>
            <w:r>
              <w:rPr>
                <w:rFonts w:hint="eastAsia" w:ascii="楷体" w:hAnsi="楷体" w:eastAsia="楷体"/>
                <w:color w:val="000000"/>
                <w:kern w:val="0"/>
              </w:rPr>
              <w:t>具象1：</w:t>
            </w:r>
            <w:r>
              <w:rPr>
                <w:rFonts w:hint="eastAsia"/>
                <w:color w:val="000000"/>
                <w:kern w:val="0"/>
              </w:rPr>
              <w:t>同</w:t>
            </w:r>
            <w:r>
              <w:rPr>
                <w:rFonts w:hint="eastAsia"/>
              </w:rPr>
              <w:t>7.1</w:t>
            </w:r>
            <w:r>
              <w:rPr>
                <w:rFonts w:hint="eastAsia" w:ascii="宋体" w:hAnsi="宋体" w:eastAsia="宋体"/>
              </w:rPr>
              <w:t>团队结构与建设机制判断依据之具象2</w:t>
            </w:r>
          </w:p>
          <w:p w14:paraId="4E191375">
            <w:pPr>
              <w:adjustRightInd w:val="0"/>
              <w:snapToGrid w:val="0"/>
              <w:rPr>
                <w:rFonts w:hint="eastAsia" w:ascii="楷体" w:hAnsi="楷体" w:eastAsia="楷体"/>
                <w:color w:val="000000"/>
                <w:kern w:val="0"/>
              </w:rPr>
            </w:pPr>
            <w:r>
              <w:rPr>
                <w:rFonts w:hint="eastAsia" w:ascii="楷体" w:hAnsi="楷体" w:eastAsia="楷体"/>
                <w:color w:val="000000"/>
                <w:kern w:val="0"/>
              </w:rPr>
              <w:t>具象2：</w:t>
            </w:r>
            <w:r>
              <w:rPr>
                <w:rFonts w:hint="eastAsia" w:ascii="宋体" w:hAnsi="宋体" w:eastAsia="宋体"/>
                <w:color w:val="000000"/>
                <w:kern w:val="0"/>
              </w:rPr>
              <w:t>本专业教师结项的校级或以上教学研究项目立项书和结题书、发表的教学研究论文报表（知网查阅）</w:t>
            </w:r>
          </w:p>
          <w:p w14:paraId="330C3E08">
            <w:pPr>
              <w:adjustRightInd w:val="0"/>
              <w:snapToGrid w:val="0"/>
              <w:rPr>
                <w:rFonts w:hint="eastAsia"/>
                <w:color w:val="000000"/>
                <w:kern w:val="0"/>
              </w:rPr>
            </w:pPr>
            <w:r>
              <w:rPr>
                <w:rFonts w:hint="eastAsia" w:ascii="楷体" w:hAnsi="楷体" w:eastAsia="楷体"/>
                <w:color w:val="000000"/>
                <w:kern w:val="0"/>
              </w:rPr>
              <w:t>具象3：</w:t>
            </w:r>
            <w:r>
              <w:rPr>
                <w:rFonts w:hint="eastAsia"/>
                <w:color w:val="000000"/>
                <w:kern w:val="0"/>
              </w:rPr>
              <w:t>2023年、2024年、2025年新入职专业教师和新聘的兼职教师接受教学基本规范培训记录（教师工作部归档资料）</w:t>
            </w:r>
          </w:p>
          <w:p w14:paraId="77B485A1">
            <w:pPr>
              <w:adjustRightInd w:val="0"/>
              <w:snapToGrid w:val="0"/>
              <w:rPr>
                <w:rFonts w:hint="eastAsia" w:ascii="楷体" w:hAnsi="楷体" w:eastAsia="楷体" w:cs="宋体"/>
                <w:color w:val="000000"/>
                <w:kern w:val="0"/>
              </w:rPr>
            </w:pPr>
            <w:r>
              <w:rPr>
                <w:rFonts w:hint="eastAsia" w:ascii="楷体" w:hAnsi="楷体" w:eastAsia="楷体"/>
                <w:color w:val="000000"/>
                <w:kern w:val="0"/>
              </w:rPr>
              <w:t>具象4：XXX</w:t>
            </w:r>
            <w:r>
              <w:rPr>
                <w:rFonts w:hint="eastAsia"/>
                <w:color w:val="000000"/>
                <w:kern w:val="0"/>
              </w:rPr>
              <w:t>教授专业带头人任命书</w:t>
            </w:r>
          </w:p>
        </w:tc>
      </w:tr>
      <w:tr w14:paraId="5AD0D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7851650B">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659E5DB7">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077E261A">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具象与依据：基本符合</w:t>
            </w:r>
          </w:p>
          <w:p w14:paraId="0D88672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采信情况：走访教师工作部核对报表，查阅知网等，采信</w:t>
            </w:r>
          </w:p>
          <w:p w14:paraId="44E9DD05">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A</w:t>
            </w:r>
          </w:p>
        </w:tc>
      </w:tr>
      <w:tr w14:paraId="53677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18A88ED2">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157BCF7B">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7.3实践经历</w:t>
            </w:r>
          </w:p>
        </w:tc>
        <w:tc>
          <w:tcPr>
            <w:tcW w:w="2976" w:type="dxa"/>
            <w:tcMar>
              <w:top w:w="57" w:type="dxa"/>
              <w:left w:w="108" w:type="dxa"/>
              <w:bottom w:w="57" w:type="dxa"/>
              <w:right w:w="108" w:type="dxa"/>
            </w:tcMar>
            <w:vAlign w:val="center"/>
          </w:tcPr>
          <w:p w14:paraId="49D35635">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专业教师具有企业工作经历，每五年至少有6个月的机械行业生产、服务、研发等企业实践经历；专业教师能贴近产业需求开展实践教学、面向企业提供技术服务</w:t>
            </w:r>
          </w:p>
          <w:p w14:paraId="4B9F15C1">
            <w:pPr>
              <w:adjustRightInd w:val="0"/>
              <w:snapToGrid w:val="0"/>
              <w:ind w:left="-29" w:leftChars="-16"/>
              <w:jc w:val="left"/>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专业教师每五年至少有</w:t>
            </w:r>
            <w:r>
              <w:rPr>
                <w:rFonts w:ascii="宋体" w:hAnsi="宋体" w:eastAsia="宋体"/>
                <w:color w:val="000000"/>
                <w:kern w:val="0"/>
              </w:rPr>
              <w:t>6个月的企业实践经历</w:t>
            </w:r>
          </w:p>
          <w:p w14:paraId="31127989">
            <w:pPr>
              <w:adjustRightInd w:val="0"/>
              <w:snapToGrid w:val="0"/>
              <w:ind w:left="-29" w:leftChars="-16"/>
              <w:jc w:val="left"/>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教师</w:t>
            </w:r>
            <w:r>
              <w:rPr>
                <w:rFonts w:hint="eastAsia"/>
                <w:color w:val="000000"/>
                <w:kern w:val="0"/>
              </w:rPr>
              <w:t>2023年、2024年、2025年</w:t>
            </w:r>
            <w:r>
              <w:rPr>
                <w:rFonts w:hint="eastAsia" w:ascii="宋体" w:hAnsi="宋体" w:eastAsia="宋体"/>
                <w:color w:val="000000"/>
                <w:kern w:val="0"/>
              </w:rPr>
              <w:t>源自模具企业案例开展实践教学</w:t>
            </w:r>
          </w:p>
          <w:p w14:paraId="2CCD503E">
            <w:pPr>
              <w:adjustRightInd w:val="0"/>
              <w:snapToGrid w:val="0"/>
              <w:ind w:left="-29" w:leftChars="-16"/>
              <w:jc w:val="left"/>
              <w:rPr>
                <w:rFonts w:hint="eastAsia" w:ascii="楷体" w:hAnsi="楷体" w:eastAsia="楷体" w:cs="宋体"/>
                <w:color w:val="000000"/>
                <w:kern w:val="0"/>
              </w:rPr>
            </w:pPr>
            <w:r>
              <w:rPr>
                <w:rFonts w:hint="eastAsia" w:ascii="楷体" w:hAnsi="楷体" w:eastAsia="楷体"/>
                <w:color w:val="000000"/>
                <w:kern w:val="0"/>
              </w:rPr>
              <w:t>具象3：</w:t>
            </w:r>
            <w:r>
              <w:rPr>
                <w:rFonts w:hint="eastAsia" w:ascii="宋体" w:hAnsi="宋体" w:eastAsia="宋体"/>
                <w:color w:val="000000"/>
                <w:kern w:val="0"/>
              </w:rPr>
              <w:t>教师</w:t>
            </w:r>
            <w:r>
              <w:rPr>
                <w:rFonts w:hint="eastAsia"/>
                <w:color w:val="000000"/>
                <w:kern w:val="0"/>
              </w:rPr>
              <w:t>2023年、2024年、2025年</w:t>
            </w:r>
            <w:r>
              <w:rPr>
                <w:rFonts w:hint="eastAsia" w:ascii="宋体" w:hAnsi="宋体" w:eastAsia="宋体"/>
                <w:color w:val="000000"/>
                <w:kern w:val="0"/>
              </w:rPr>
              <w:t>面向企业提供技术服务</w:t>
            </w:r>
          </w:p>
        </w:tc>
        <w:tc>
          <w:tcPr>
            <w:tcW w:w="4684" w:type="dxa"/>
            <w:tcMar>
              <w:top w:w="57" w:type="dxa"/>
              <w:left w:w="108" w:type="dxa"/>
              <w:bottom w:w="57" w:type="dxa"/>
              <w:right w:w="108" w:type="dxa"/>
            </w:tcMar>
            <w:vAlign w:val="center"/>
          </w:tcPr>
          <w:p w14:paraId="5B8C1B56">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近五年专业教师参与机械行业生产、服务、研发等企业实践经历的过程性记录与汇总材料；近五年专业教师面向企业提供技术服务统计材料，以及取得的技术服务成果材料</w:t>
            </w:r>
          </w:p>
          <w:p w14:paraId="290190A7">
            <w:pPr>
              <w:adjustRightInd w:val="0"/>
              <w:snapToGrid w:val="0"/>
              <w:spacing w:line="300" w:lineRule="exact"/>
              <w:ind w:left="-29" w:leftChars="-16"/>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近五年专业教师至少6个月企业实践经历证明（校企协议，完成的企业课题立项书和结题验收书，企业项目到帐凭证，企业人事考勤凭证）</w:t>
            </w:r>
          </w:p>
          <w:p w14:paraId="3C172B6A">
            <w:pPr>
              <w:adjustRightInd w:val="0"/>
              <w:snapToGrid w:val="0"/>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w:t>
            </w:r>
            <w:r>
              <w:rPr>
                <w:rFonts w:hint="eastAsia"/>
                <w:color w:val="000000"/>
                <w:kern w:val="0"/>
              </w:rPr>
              <w:t>2023年、2024年、2025年</w:t>
            </w:r>
            <w:r>
              <w:rPr>
                <w:rFonts w:hint="eastAsia" w:ascii="宋体" w:hAnsi="宋体" w:eastAsia="宋体"/>
                <w:color w:val="000000"/>
                <w:kern w:val="0"/>
              </w:rPr>
              <w:t>源自模具企业案例进入课程开发资源（学校教务处验收单、相应课程标准内容审核，相应教学日志执行记录）</w:t>
            </w:r>
          </w:p>
          <w:p w14:paraId="5FE945B1">
            <w:pPr>
              <w:adjustRightInd w:val="0"/>
              <w:snapToGrid w:val="0"/>
              <w:rPr>
                <w:rFonts w:hint="eastAsia"/>
                <w:color w:val="000000"/>
                <w:kern w:val="0"/>
              </w:rPr>
            </w:pPr>
            <w:r>
              <w:rPr>
                <w:rFonts w:hint="eastAsia" w:ascii="楷体" w:hAnsi="楷体" w:eastAsia="楷体"/>
                <w:color w:val="000000"/>
                <w:kern w:val="0"/>
              </w:rPr>
              <w:t>具象3</w:t>
            </w:r>
            <w:r>
              <w:rPr>
                <w:rFonts w:hint="eastAsia" w:ascii="宋体" w:hAnsi="宋体" w:eastAsia="宋体"/>
                <w:color w:val="000000"/>
                <w:kern w:val="0"/>
              </w:rPr>
              <w:t>：</w:t>
            </w:r>
            <w:r>
              <w:rPr>
                <w:rFonts w:hint="eastAsia"/>
                <w:color w:val="000000"/>
                <w:kern w:val="0"/>
              </w:rPr>
              <w:t>2023年、2024年、2025年面向企业技术服务项目合同，账务到帐凭证</w:t>
            </w:r>
          </w:p>
          <w:p w14:paraId="13237C62">
            <w:pPr>
              <w:adjustRightInd w:val="0"/>
              <w:snapToGrid w:val="0"/>
              <w:rPr>
                <w:rFonts w:hint="eastAsia" w:ascii="楷体" w:hAnsi="楷体" w:eastAsia="楷体" w:cs="宋体"/>
                <w:color w:val="000000"/>
                <w:kern w:val="0"/>
              </w:rPr>
            </w:pPr>
            <w:r>
              <w:rPr>
                <w:rFonts w:hint="eastAsia" w:ascii="楷体" w:hAnsi="楷体" w:eastAsia="楷体"/>
                <w:color w:val="000000"/>
                <w:kern w:val="0"/>
              </w:rPr>
              <w:t>具象4</w:t>
            </w:r>
            <w:r>
              <w:rPr>
                <w:rFonts w:hint="eastAsia" w:ascii="宋体" w:hAnsi="宋体" w:eastAsia="宋体"/>
                <w:color w:val="000000"/>
                <w:kern w:val="0"/>
              </w:rPr>
              <w:t>：省教育厅本专业教师受聘企业科技副总通知文件</w:t>
            </w:r>
          </w:p>
        </w:tc>
      </w:tr>
      <w:tr w14:paraId="2CF1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424E01BD">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5A58FB8">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7B875A6F">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具象与依据：基本符合</w:t>
            </w:r>
          </w:p>
          <w:p w14:paraId="12A5574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采信情况：每五年至少有</w:t>
            </w:r>
            <w:r>
              <w:rPr>
                <w:rFonts w:ascii="楷体" w:hAnsi="楷体" w:eastAsia="楷体" w:cs="宋体"/>
                <w:color w:val="000000"/>
                <w:kern w:val="0"/>
              </w:rPr>
              <w:t>6个月的机械行业生产、服务、研发等企业实践经历</w:t>
            </w:r>
            <w:r>
              <w:rPr>
                <w:rFonts w:hint="eastAsia" w:ascii="楷体" w:hAnsi="楷体" w:eastAsia="楷体" w:cs="宋体"/>
                <w:color w:val="000000"/>
                <w:kern w:val="0"/>
              </w:rPr>
              <w:t>凭据抽漏</w:t>
            </w:r>
          </w:p>
          <w:p w14:paraId="6C12EBE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B</w:t>
            </w:r>
          </w:p>
        </w:tc>
      </w:tr>
      <w:tr w14:paraId="2E03D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56BDF1E3">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4FF5824E">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7.4专业教师学科背景</w:t>
            </w:r>
          </w:p>
        </w:tc>
        <w:tc>
          <w:tcPr>
            <w:tcW w:w="2976" w:type="dxa"/>
            <w:tcMar>
              <w:top w:w="57" w:type="dxa"/>
              <w:left w:w="108" w:type="dxa"/>
              <w:bottom w:w="57" w:type="dxa"/>
              <w:right w:w="108" w:type="dxa"/>
            </w:tcMar>
            <w:vAlign w:val="center"/>
          </w:tcPr>
          <w:p w14:paraId="1894D94F">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80%专业教师在本科、硕士和博士三个学历阶段中，有一个阶段是机械类专业学历</w:t>
            </w:r>
          </w:p>
          <w:p w14:paraId="21615F8D">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专业17位教师（含专业和实训）在本科、硕士和博士三个学历阶段中获得的机械类专业学历</w:t>
            </w:r>
          </w:p>
        </w:tc>
        <w:tc>
          <w:tcPr>
            <w:tcW w:w="4684" w:type="dxa"/>
            <w:tcMar>
              <w:top w:w="57" w:type="dxa"/>
              <w:left w:w="108" w:type="dxa"/>
              <w:bottom w:w="57" w:type="dxa"/>
              <w:right w:w="108" w:type="dxa"/>
            </w:tcMar>
            <w:vAlign w:val="center"/>
          </w:tcPr>
          <w:p w14:paraId="2F9B7260">
            <w:pPr>
              <w:adjustRightInd w:val="0"/>
              <w:snapToGrid w:val="0"/>
              <w:rPr>
                <w:rFonts w:hint="eastAsia" w:ascii="宋体" w:hAnsi="宋体" w:eastAsia="宋体"/>
              </w:rPr>
            </w:pPr>
            <w:r>
              <w:rPr>
                <w:rFonts w:hint="eastAsia" w:ascii="楷体" w:hAnsi="楷体" w:eastAsia="楷体" w:cs="宋体"/>
                <w:color w:val="000000"/>
                <w:kern w:val="0"/>
              </w:rPr>
              <w:t>判断依据：</w:t>
            </w:r>
            <w:r>
              <w:rPr>
                <w:rFonts w:hint="eastAsia" w:ascii="宋体" w:hAnsi="宋体" w:eastAsia="宋体"/>
              </w:rPr>
              <w:t>专业教师在本科、硕士和博士三个学历阶段中获得的机械类专业学历的统计和审核材料</w:t>
            </w:r>
          </w:p>
          <w:p w14:paraId="797F91A8">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专业17位教师专业学历证书原件</w:t>
            </w:r>
          </w:p>
        </w:tc>
      </w:tr>
      <w:tr w14:paraId="448C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6362525B">
            <w:pPr>
              <w:adjustRightInd w:val="0"/>
              <w:snapToGrid w:val="0"/>
              <w:ind w:firstLine="0" w:firstLineChars="0"/>
              <w:jc w:val="lef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DFE4C11">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2FB90E4E">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69668FEA">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 xml:space="preserve">采信情况：获得的机械类专业学历者为13名，4名教师没有机械类专业学历 </w:t>
            </w:r>
          </w:p>
          <w:p w14:paraId="1EABEC1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查证结果：B</w:t>
            </w:r>
          </w:p>
        </w:tc>
      </w:tr>
      <w:tr w14:paraId="37B3E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67B8887A">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2D589F5E">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7.5专业教师技能要求</w:t>
            </w:r>
          </w:p>
        </w:tc>
        <w:tc>
          <w:tcPr>
            <w:tcW w:w="2976" w:type="dxa"/>
            <w:tcMar>
              <w:top w:w="57" w:type="dxa"/>
              <w:left w:w="108" w:type="dxa"/>
              <w:bottom w:w="57" w:type="dxa"/>
              <w:right w:w="108" w:type="dxa"/>
            </w:tcMar>
            <w:vAlign w:val="center"/>
          </w:tcPr>
          <w:p w14:paraId="3BE693F8">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从事专业教学三年及以上专业教师获得一个与专业相关或与授课课程相关的、公认的职业资格证书或技能等级证书</w:t>
            </w:r>
          </w:p>
          <w:p w14:paraId="17C75B20">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三年及以上教学经历的专业教师共15名，要求获得的与专业相关或与授课课程相关的、公认的职业资格证书或技能等级证书</w:t>
            </w:r>
          </w:p>
        </w:tc>
        <w:tc>
          <w:tcPr>
            <w:tcW w:w="4684" w:type="dxa"/>
            <w:tcMar>
              <w:top w:w="57" w:type="dxa"/>
              <w:left w:w="108" w:type="dxa"/>
              <w:bottom w:w="57" w:type="dxa"/>
              <w:right w:w="108" w:type="dxa"/>
            </w:tcMar>
            <w:vAlign w:val="center"/>
          </w:tcPr>
          <w:p w14:paraId="55FF9FC8">
            <w:pPr>
              <w:adjustRightInd w:val="0"/>
              <w:snapToGrid w:val="0"/>
              <w:rPr>
                <w:rFonts w:hint="eastAsia" w:ascii="宋体" w:hAnsi="宋体" w:eastAsia="宋体"/>
              </w:rPr>
            </w:pPr>
            <w:r>
              <w:rPr>
                <w:rFonts w:hint="eastAsia" w:ascii="楷体" w:hAnsi="楷体" w:eastAsia="楷体" w:cs="宋体"/>
                <w:color w:val="000000"/>
                <w:kern w:val="0"/>
              </w:rPr>
              <w:t>判断依据：</w:t>
            </w:r>
            <w:r>
              <w:rPr>
                <w:rFonts w:hint="eastAsia" w:ascii="宋体" w:hAnsi="宋体" w:eastAsia="宋体"/>
              </w:rPr>
              <w:t>专业教师获得的与专业相关或与授课课程相关的、公认的职业资格证书或技能等级证书的统计和审核材料</w:t>
            </w:r>
          </w:p>
          <w:p w14:paraId="4AA1AE99">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三年及以上教学经历的15名专业教师的职业资格证书或技能等级证书原件</w:t>
            </w:r>
          </w:p>
        </w:tc>
      </w:tr>
      <w:tr w14:paraId="2E34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0CF741F7">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04AA5303">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153F48FF">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37E02D3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采信情况：获得职业资格证书或技能等级证书者15名查证结果：A</w:t>
            </w:r>
          </w:p>
        </w:tc>
      </w:tr>
      <w:tr w14:paraId="25A20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2656EB11">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6F84A791">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7.6企业导师</w:t>
            </w:r>
          </w:p>
        </w:tc>
        <w:tc>
          <w:tcPr>
            <w:tcW w:w="2976" w:type="dxa"/>
            <w:tcMar>
              <w:top w:w="57" w:type="dxa"/>
              <w:left w:w="108" w:type="dxa"/>
              <w:bottom w:w="57" w:type="dxa"/>
              <w:right w:w="108" w:type="dxa"/>
            </w:tcMar>
            <w:vAlign w:val="center"/>
          </w:tcPr>
          <w:p w14:paraId="4F1D4EF3">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聘用企业中与专业相关岗位工作的技术骨干为企业导师</w:t>
            </w:r>
          </w:p>
          <w:p w14:paraId="326AA20F">
            <w:pPr>
              <w:adjustRightInd w:val="0"/>
              <w:snapToGrid w:val="0"/>
              <w:jc w:val="left"/>
              <w:rPr>
                <w:rFonts w:hint="eastAsia" w:ascii="宋体" w:hAnsi="宋体" w:eastAsia="宋体"/>
              </w:rPr>
            </w:pPr>
            <w:r>
              <w:rPr>
                <w:rFonts w:hint="eastAsia" w:ascii="宋体" w:hAnsi="宋体" w:eastAsia="宋体"/>
              </w:rPr>
              <w:t>企业导师每学年任课量占专业课总教学工作量15%以上</w:t>
            </w:r>
          </w:p>
          <w:p w14:paraId="3FD7F4DD">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2023、2024、2025年中聘用了5位企业导师，每学年任课量占专业课总教学工作量达15%</w:t>
            </w:r>
          </w:p>
        </w:tc>
        <w:tc>
          <w:tcPr>
            <w:tcW w:w="4684" w:type="dxa"/>
            <w:tcMar>
              <w:top w:w="57" w:type="dxa"/>
              <w:left w:w="108" w:type="dxa"/>
              <w:bottom w:w="57" w:type="dxa"/>
              <w:right w:w="108" w:type="dxa"/>
            </w:tcMar>
            <w:vAlign w:val="center"/>
          </w:tcPr>
          <w:p w14:paraId="5AD98CD6">
            <w:pPr>
              <w:adjustRightInd w:val="0"/>
              <w:snapToGrid w:val="0"/>
              <w:rPr>
                <w:rFonts w:hint="eastAsia" w:ascii="宋体" w:hAnsi="宋体" w:eastAsia="宋体"/>
              </w:rPr>
            </w:pPr>
            <w:r>
              <w:rPr>
                <w:rFonts w:hint="eastAsia" w:ascii="楷体" w:hAnsi="楷体" w:eastAsia="楷体" w:cs="宋体"/>
                <w:color w:val="000000"/>
                <w:kern w:val="0"/>
              </w:rPr>
              <w:t>判断依据：</w:t>
            </w:r>
            <w:r>
              <w:rPr>
                <w:rFonts w:hint="eastAsia" w:ascii="宋体" w:hAnsi="宋体" w:eastAsia="宋体"/>
              </w:rPr>
              <w:t>近三年聘用的企业导师聘用协议文本汇总材料；近三年聘用的企业导师的技术背景、岗位背景、个人基本信息材料；近三年企业导师每学年任课工作量报酬或合作协议、合同等凭证；近三年企业导师每学年任课量占专业总教学工作量比例的统计和审核材料</w:t>
            </w:r>
          </w:p>
          <w:p w14:paraId="66FCE3AD">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5名企业导师的聘用协议</w:t>
            </w:r>
          </w:p>
          <w:p w14:paraId="0EB7604F">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企业导师每学年任课学时统计（依据智慧教务数据，</w:t>
            </w:r>
            <w:r>
              <w:rPr>
                <w:rFonts w:hint="eastAsia" w:ascii="宋体" w:hAnsi="宋体" w:eastAsia="宋体"/>
              </w:rPr>
              <w:t>占专业课总教学工作量</w:t>
            </w:r>
            <w:r>
              <w:rPr>
                <w:rFonts w:hint="eastAsia" w:ascii="宋体" w:hAnsi="宋体" w:eastAsia="宋体" w:cs="宋体"/>
                <w:color w:val="000000"/>
                <w:kern w:val="0"/>
              </w:rPr>
              <w:t>8%）</w:t>
            </w:r>
          </w:p>
          <w:p w14:paraId="2BF65ED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企业导师获酬报表（财务帐目）</w:t>
            </w:r>
          </w:p>
        </w:tc>
      </w:tr>
      <w:tr w14:paraId="052BC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004" w:hRule="atLeast"/>
          <w:jc w:val="right"/>
        </w:trPr>
        <w:tc>
          <w:tcPr>
            <w:tcW w:w="2334" w:type="dxa"/>
            <w:gridSpan w:val="2"/>
            <w:tcMar>
              <w:top w:w="57" w:type="dxa"/>
              <w:left w:w="108" w:type="dxa"/>
              <w:bottom w:w="57" w:type="dxa"/>
              <w:right w:w="108" w:type="dxa"/>
            </w:tcMar>
            <w:vAlign w:val="center"/>
          </w:tcPr>
          <w:p w14:paraId="53BBADB7">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620427DC">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547A0FB8">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69B9D5CA">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采信情况：具象2缺授课计划和教学日志； 具象3获酬额折算成教学工作量达不到</w:t>
            </w:r>
            <w:r>
              <w:rPr>
                <w:rFonts w:hint="eastAsia" w:ascii="楷体" w:hAnsi="楷体" w:eastAsia="楷体"/>
              </w:rPr>
              <w:t>占专业课总教学工作量</w:t>
            </w:r>
            <w:r>
              <w:rPr>
                <w:rFonts w:hint="eastAsia" w:ascii="楷体" w:hAnsi="楷体" w:eastAsia="楷体" w:cs="宋体"/>
                <w:color w:val="000000"/>
                <w:kern w:val="0"/>
              </w:rPr>
              <w:t>15%</w:t>
            </w:r>
          </w:p>
          <w:p w14:paraId="194B9F52">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hint="eastAsia" w:ascii="楷体" w:hAnsi="楷体" w:eastAsia="楷体" w:cs="宋体"/>
                <w:kern w:val="0"/>
              </w:rPr>
              <w:t>：C</w:t>
            </w:r>
          </w:p>
        </w:tc>
      </w:tr>
      <w:tr w14:paraId="24078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7B72F740">
            <w:pPr>
              <w:adjustRightInd w:val="0"/>
              <w:snapToGrid w:val="0"/>
              <w:ind w:firstLine="0" w:firstLineChars="0"/>
              <w:jc w:val="left"/>
              <w:rPr>
                <w:rFonts w:hint="eastAsia" w:ascii="宋体" w:hAnsi="宋体" w:eastAsia="宋体" w:cs="宋体"/>
                <w:color w:val="000000"/>
                <w:kern w:val="0"/>
              </w:rPr>
            </w:pPr>
            <w:r>
              <w:t>8</w:t>
            </w:r>
            <w:r>
              <w:rPr>
                <w:rFonts w:hint="eastAsia"/>
              </w:rPr>
              <w:t>校企合作</w:t>
            </w:r>
          </w:p>
        </w:tc>
        <w:tc>
          <w:tcPr>
            <w:tcW w:w="1261" w:type="dxa"/>
            <w:tcMar>
              <w:top w:w="57" w:type="dxa"/>
              <w:left w:w="108" w:type="dxa"/>
              <w:bottom w:w="57" w:type="dxa"/>
              <w:right w:w="108" w:type="dxa"/>
            </w:tcMar>
            <w:vAlign w:val="center"/>
          </w:tcPr>
          <w:p w14:paraId="048448DE">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8.1合作平台</w:t>
            </w:r>
          </w:p>
        </w:tc>
        <w:tc>
          <w:tcPr>
            <w:tcW w:w="2976" w:type="dxa"/>
            <w:tcMar>
              <w:top w:w="57" w:type="dxa"/>
              <w:left w:w="108" w:type="dxa"/>
              <w:bottom w:w="57" w:type="dxa"/>
              <w:right w:w="108" w:type="dxa"/>
            </w:tcMar>
            <w:vAlign w:val="center"/>
          </w:tcPr>
          <w:p w14:paraId="61EC0E70">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专业具有与合作方共同出资、共同运行的合作平台，平台能支撑专业建设和人才培养</w:t>
            </w:r>
          </w:p>
          <w:p w14:paraId="37F2DBD2">
            <w:pPr>
              <w:adjustRightInd w:val="0"/>
              <w:snapToGrid w:val="0"/>
              <w:spacing w:line="300" w:lineRule="exact"/>
              <w:ind w:left="-29" w:leftChars="-16"/>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与深圳德立天共建注</w:t>
            </w:r>
            <w:r>
              <w:rPr>
                <w:rFonts w:ascii="宋体" w:hAnsi="宋体" w:eastAsia="宋体" w:cs="宋体"/>
                <w:color w:val="000000"/>
                <w:kern w:val="0"/>
              </w:rPr>
              <w:t>注塑机企业级设备</w:t>
            </w:r>
            <w:r>
              <w:rPr>
                <w:rFonts w:hint="eastAsia" w:ascii="宋体" w:hAnsi="宋体" w:eastAsia="宋体" w:cs="宋体"/>
                <w:color w:val="000000"/>
                <w:kern w:val="0"/>
              </w:rPr>
              <w:t>平台，与</w:t>
            </w:r>
            <w:r>
              <w:rPr>
                <w:rFonts w:ascii="宋体" w:hAnsi="宋体" w:eastAsia="宋体" w:cs="宋体"/>
                <w:color w:val="000000"/>
                <w:kern w:val="0"/>
              </w:rPr>
              <w:t>西门子共建数字化孪生技术产业学院, 与武汉华中数控控股有限公司共建创新工作室，研究机器人离线编程、数字化管理系统</w:t>
            </w:r>
            <w:r>
              <w:rPr>
                <w:rFonts w:hint="eastAsia" w:ascii="宋体" w:hAnsi="宋体" w:eastAsia="宋体" w:cs="宋体"/>
                <w:color w:val="000000"/>
                <w:kern w:val="0"/>
              </w:rPr>
              <w:t>；</w:t>
            </w:r>
            <w:r>
              <w:rPr>
                <w:rFonts w:ascii="宋体" w:hAnsi="宋体" w:eastAsia="宋体" w:cs="宋体"/>
                <w:color w:val="000000"/>
                <w:kern w:val="0"/>
              </w:rPr>
              <w:t>无锡贝斯特精机股份有限公司共建“智能产线技术及装备工程研究中心”</w:t>
            </w:r>
            <w:r>
              <w:rPr>
                <w:rFonts w:hint="eastAsia" w:ascii="宋体" w:hAnsi="宋体" w:eastAsia="宋体" w:cs="宋体"/>
                <w:color w:val="000000"/>
                <w:kern w:val="0"/>
              </w:rPr>
              <w:t>共4个合作平台</w:t>
            </w:r>
          </w:p>
        </w:tc>
        <w:tc>
          <w:tcPr>
            <w:tcW w:w="4684" w:type="dxa"/>
            <w:tcMar>
              <w:top w:w="57" w:type="dxa"/>
              <w:left w:w="108" w:type="dxa"/>
              <w:bottom w:w="57" w:type="dxa"/>
              <w:right w:w="108" w:type="dxa"/>
            </w:tcMar>
            <w:vAlign w:val="center"/>
          </w:tcPr>
          <w:p w14:paraId="7AE7C7CD">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专业建有的校企合作平台汇总文件以及平台运行情况记录；专业通过校企合作平台为企业提供有效服务、引入企业人才培养资源的成果材料料</w:t>
            </w:r>
          </w:p>
          <w:p w14:paraId="28E8EC60">
            <w:pPr>
              <w:adjustRightInd w:val="0"/>
              <w:snapToGrid w:val="0"/>
              <w:spacing w:line="300" w:lineRule="exact"/>
              <w:ind w:left="-29" w:leftChars="-16"/>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4个合作平台的共建协议及现场平台场所</w:t>
            </w:r>
          </w:p>
          <w:p w14:paraId="0AC0DDBE">
            <w:pPr>
              <w:adjustRightInd w:val="0"/>
              <w:snapToGrid w:val="0"/>
              <w:spacing w:line="300" w:lineRule="exact"/>
              <w:ind w:left="-29" w:leftChars="-16"/>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在深圳德立天校企共建平台中开展塑料成型工艺与模具设计课程的实验实训项目教学日志</w:t>
            </w:r>
          </w:p>
        </w:tc>
      </w:tr>
      <w:tr w14:paraId="64F9E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4F7B06EB">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3DC5462E">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54222043">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3C3C841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采信情况：现场考察</w:t>
            </w:r>
          </w:p>
          <w:p w14:paraId="78A4CA82">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A</w:t>
            </w:r>
          </w:p>
        </w:tc>
      </w:tr>
      <w:tr w14:paraId="3909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613D704B">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0D09E2E3">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8.2合作机制</w:t>
            </w:r>
          </w:p>
        </w:tc>
        <w:tc>
          <w:tcPr>
            <w:tcW w:w="2976" w:type="dxa"/>
            <w:tcMar>
              <w:top w:w="57" w:type="dxa"/>
              <w:left w:w="108" w:type="dxa"/>
              <w:bottom w:w="57" w:type="dxa"/>
              <w:right w:w="108" w:type="dxa"/>
            </w:tcMar>
            <w:vAlign w:val="center"/>
          </w:tcPr>
          <w:p w14:paraId="4F51D8AF">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专业与3家或以上业界优势企业建立紧密校企合作关系</w:t>
            </w:r>
          </w:p>
          <w:p w14:paraId="11F29096">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本专业与</w:t>
            </w:r>
            <w:r>
              <w:rPr>
                <w:rFonts w:ascii="宋体" w:hAnsi="宋体" w:eastAsia="宋体" w:cs="宋体"/>
                <w:color w:val="000000"/>
                <w:kern w:val="0"/>
              </w:rPr>
              <w:t>精利模塑科技（无锡）有限公司</w:t>
            </w:r>
            <w:r>
              <w:rPr>
                <w:rFonts w:hint="eastAsia" w:ascii="宋体" w:hAnsi="宋体" w:eastAsia="宋体" w:cs="宋体"/>
                <w:color w:val="000000"/>
                <w:kern w:val="0"/>
              </w:rPr>
              <w:t>、</w:t>
            </w:r>
            <w:r>
              <w:rPr>
                <w:rFonts w:ascii="宋体" w:hAnsi="宋体" w:eastAsia="宋体" w:cs="宋体"/>
                <w:color w:val="000000"/>
                <w:kern w:val="0"/>
              </w:rPr>
              <w:t>无锡微研股份有限公司</w:t>
            </w:r>
            <w:r>
              <w:rPr>
                <w:rFonts w:hint="eastAsia" w:ascii="宋体" w:hAnsi="宋体" w:eastAsia="宋体" w:cs="宋体"/>
                <w:color w:val="000000"/>
                <w:kern w:val="0"/>
              </w:rPr>
              <w:t>，</w:t>
            </w:r>
            <w:r>
              <w:rPr>
                <w:rFonts w:ascii="宋体" w:hAnsi="宋体" w:eastAsia="宋体" w:cs="宋体"/>
                <w:color w:val="000000"/>
                <w:kern w:val="0"/>
              </w:rPr>
              <w:t>江苏永瀚特种合金技术股份有限公司</w:t>
            </w:r>
            <w:r>
              <w:rPr>
                <w:rFonts w:hint="eastAsia" w:ascii="宋体" w:hAnsi="宋体" w:eastAsia="宋体" w:cs="宋体"/>
                <w:color w:val="000000"/>
                <w:kern w:val="0"/>
              </w:rPr>
              <w:t>、</w:t>
            </w:r>
            <w:r>
              <w:rPr>
                <w:rFonts w:ascii="宋体" w:hAnsi="宋体" w:eastAsia="宋体" w:cs="宋体"/>
                <w:color w:val="000000"/>
                <w:kern w:val="0"/>
              </w:rPr>
              <w:t>无锡透平叶片有限公司</w:t>
            </w:r>
            <w:r>
              <w:rPr>
                <w:rFonts w:hint="eastAsia" w:ascii="宋体" w:hAnsi="宋体" w:eastAsia="宋体" w:cs="宋体"/>
                <w:color w:val="000000"/>
                <w:kern w:val="0"/>
              </w:rPr>
              <w:t>等企业建立人才合作培养关系</w:t>
            </w:r>
          </w:p>
        </w:tc>
        <w:tc>
          <w:tcPr>
            <w:tcW w:w="4684" w:type="dxa"/>
            <w:tcMar>
              <w:top w:w="57" w:type="dxa"/>
              <w:left w:w="108" w:type="dxa"/>
              <w:bottom w:w="57" w:type="dxa"/>
              <w:right w:w="108" w:type="dxa"/>
            </w:tcMar>
            <w:vAlign w:val="center"/>
          </w:tcPr>
          <w:p w14:paraId="21A18A42">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近三年与合作企业签署的合作教学项目协议；近三年合作企业提供的学生实习、教师下厂的具体岗位；近三年校企双方签署的、针对具体合作教学项目的教师、企业专家互聘协议</w:t>
            </w:r>
          </w:p>
          <w:p w14:paraId="4D41CF8E">
            <w:pPr>
              <w:adjustRightInd w:val="0"/>
              <w:snapToGrid w:val="0"/>
              <w:rPr>
                <w:rFonts w:hint="eastAsia"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与</w:t>
            </w:r>
            <w:r>
              <w:rPr>
                <w:rFonts w:hint="eastAsia" w:cs="宋体"/>
                <w:color w:val="000000"/>
                <w:kern w:val="0"/>
              </w:rPr>
              <w:t>4家企业的人才合作培养协议</w:t>
            </w:r>
          </w:p>
          <w:p w14:paraId="70C462A9">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2023年、2024年、2025年学生在合作</w:t>
            </w:r>
            <w:r>
              <w:rPr>
                <w:rFonts w:hint="eastAsia" w:cs="宋体"/>
                <w:color w:val="000000"/>
                <w:kern w:val="0"/>
              </w:rPr>
              <w:t>4家企业的实习记录</w:t>
            </w:r>
          </w:p>
        </w:tc>
      </w:tr>
      <w:tr w14:paraId="113B1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48E4E6AE">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0729042">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1614EECC">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具象与依据：基本符合</w:t>
            </w:r>
          </w:p>
          <w:p w14:paraId="3C19D224">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采信情况：原始文件，部分凭证和记录有缺漏</w:t>
            </w:r>
          </w:p>
          <w:p w14:paraId="459F743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B</w:t>
            </w:r>
          </w:p>
        </w:tc>
      </w:tr>
      <w:tr w14:paraId="0C54D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22976291">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24AD083A">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8.3合作成效</w:t>
            </w:r>
          </w:p>
        </w:tc>
        <w:tc>
          <w:tcPr>
            <w:tcW w:w="2976" w:type="dxa"/>
            <w:tcMar>
              <w:top w:w="57" w:type="dxa"/>
              <w:left w:w="108" w:type="dxa"/>
              <w:bottom w:w="57" w:type="dxa"/>
              <w:right w:w="108" w:type="dxa"/>
            </w:tcMar>
            <w:vAlign w:val="center"/>
          </w:tcPr>
          <w:p w14:paraId="1D2171B7">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校企合作贯穿于专业建设和人才培养全过程并取得实质性成效</w:t>
            </w:r>
          </w:p>
          <w:p w14:paraId="27142863">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成立含模具相关企业专家的校企合作专业委员会，定期举办专业委员会会议，共同研讨和修订专业人才培养方案、课程标准等</w:t>
            </w:r>
          </w:p>
          <w:p w14:paraId="4B5E2C90">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有基于企业真实案例开发的模具设计、加工、装调的相关教学项目，并逐步将校企合作开发的教学项目编入专业课教材</w:t>
            </w:r>
          </w:p>
          <w:p w14:paraId="76E07EE7">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合作期内专业教师提供技术服务、或协助企业制定员工培训方案、或参与各类员工培训</w:t>
            </w:r>
          </w:p>
          <w:p w14:paraId="1D716805">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具象4：</w:t>
            </w:r>
            <w:r>
              <w:rPr>
                <w:rFonts w:hint="eastAsia" w:ascii="宋体" w:hAnsi="宋体" w:eastAsia="宋体" w:cs="宋体"/>
                <w:color w:val="000000"/>
                <w:kern w:val="0"/>
              </w:rPr>
              <w:t>企业提供学生项岗实习岗位，优先吸纳本专业毕业生就业，合作企业每年参与分院或学校组织的毕业生招聘会</w:t>
            </w:r>
          </w:p>
        </w:tc>
        <w:tc>
          <w:tcPr>
            <w:tcW w:w="4684" w:type="dxa"/>
            <w:tcMar>
              <w:top w:w="57" w:type="dxa"/>
              <w:left w:w="108" w:type="dxa"/>
              <w:bottom w:w="57" w:type="dxa"/>
              <w:right w:w="108" w:type="dxa"/>
            </w:tcMar>
            <w:vAlign w:val="center"/>
          </w:tcPr>
          <w:p w14:paraId="22B04449">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近三年企业专家承担参与人才培养方案、课程标准（课程教学大纲）、教材开发和合作教学项目任务的凭据；近三年专业为合作企业提供技术服务或员工培训项目协议及其执行记录；近三年毕业生到合作企业就业的统计分析材料</w:t>
            </w:r>
          </w:p>
          <w:p w14:paraId="5F386E66">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同2.2目标修订具象2（有相关企业专家人才培养方案、课程标准、课程开发等修订审核的参加凭证）</w:t>
            </w:r>
          </w:p>
          <w:p w14:paraId="12F01CA5">
            <w:pPr>
              <w:adjustRightInd w:val="0"/>
              <w:snapToGrid w:val="0"/>
              <w:spacing w:line="300" w:lineRule="exact"/>
              <w:ind w:left="-29" w:leftChars="-16"/>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专业教师</w:t>
            </w:r>
            <w:r>
              <w:rPr>
                <w:rFonts w:ascii="宋体" w:hAnsi="宋体" w:eastAsia="宋体" w:cs="宋体"/>
                <w:color w:val="000000"/>
                <w:kern w:val="0"/>
              </w:rPr>
              <w:t>2024年为无锡微研中佳精机科技培训员工</w:t>
            </w:r>
          </w:p>
          <w:p w14:paraId="2087946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本专业</w:t>
            </w:r>
            <w:r>
              <w:rPr>
                <w:rFonts w:ascii="宋体" w:hAnsi="宋体" w:eastAsia="宋体" w:cs="宋体"/>
                <w:color w:val="000000"/>
                <w:kern w:val="0"/>
              </w:rPr>
              <w:t>近</w:t>
            </w:r>
            <w:r>
              <w:rPr>
                <w:rFonts w:hint="eastAsia" w:ascii="宋体" w:hAnsi="宋体" w:eastAsia="宋体" w:cs="宋体"/>
                <w:color w:val="000000"/>
                <w:kern w:val="0"/>
              </w:rPr>
              <w:t>2023年、2024年、2025年</w:t>
            </w:r>
            <w:r>
              <w:rPr>
                <w:rFonts w:ascii="宋体" w:hAnsi="宋体" w:eastAsia="宋体" w:cs="宋体"/>
                <w:color w:val="000000"/>
                <w:kern w:val="0"/>
              </w:rPr>
              <w:t>10名学生进入合作企业就业</w:t>
            </w:r>
          </w:p>
        </w:tc>
      </w:tr>
      <w:tr w14:paraId="143FF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2DF74A36">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02E6D51C">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6C8A3E54">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具象与依据：不符合</w:t>
            </w:r>
          </w:p>
          <w:p w14:paraId="0E860E5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采信情况：无校企合作开发教材材料</w:t>
            </w:r>
          </w:p>
          <w:p w14:paraId="47E0C059">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C</w:t>
            </w:r>
          </w:p>
        </w:tc>
      </w:tr>
      <w:tr w14:paraId="66E56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761860B1">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9 支持条件</w:t>
            </w:r>
          </w:p>
        </w:tc>
        <w:tc>
          <w:tcPr>
            <w:tcW w:w="1261" w:type="dxa"/>
            <w:tcMar>
              <w:top w:w="57" w:type="dxa"/>
              <w:left w:w="108" w:type="dxa"/>
              <w:bottom w:w="57" w:type="dxa"/>
              <w:right w:w="108" w:type="dxa"/>
            </w:tcMar>
            <w:vAlign w:val="center"/>
          </w:tcPr>
          <w:p w14:paraId="20427052">
            <w:pPr>
              <w:adjustRightInd w:val="0"/>
              <w:snapToGrid w:val="0"/>
              <w:ind w:firstLine="0" w:firstLineChars="0"/>
              <w:jc w:val="left"/>
              <w:rPr>
                <w:rFonts w:hint="eastAsia" w:ascii="宋体" w:hAnsi="宋体" w:eastAsia="宋体" w:cs="宋体"/>
                <w:color w:val="000000"/>
                <w:kern w:val="0"/>
              </w:rPr>
            </w:pPr>
            <w:r>
              <w:rPr>
                <w:rFonts w:ascii="宋体" w:hAnsi="宋体" w:eastAsia="宋体"/>
              </w:rPr>
              <w:t>9.1教学设施</w:t>
            </w:r>
          </w:p>
        </w:tc>
        <w:tc>
          <w:tcPr>
            <w:tcW w:w="2976" w:type="dxa"/>
            <w:tcMar>
              <w:top w:w="57" w:type="dxa"/>
              <w:left w:w="108" w:type="dxa"/>
              <w:bottom w:w="57" w:type="dxa"/>
              <w:right w:w="108" w:type="dxa"/>
            </w:tcMar>
            <w:vAlign w:val="center"/>
          </w:tcPr>
          <w:p w14:paraId="2FDBC3BF">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专业建有“金工、电工电子、机械零件与产品测绘、公差配合与测量、材料组织与性能检测、液压与气压传动、程序设计与控制、传感器应用”等领域内3个或以上基础性实验实训室；专业生均教学行政用房不低于16平方米/生；专业生均教学科研仪器设备值不低于8000元/生</w:t>
            </w:r>
          </w:p>
          <w:p w14:paraId="1CF13494">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本专业了配置金工、机械零件与产品测绘、工程力学、公差配合与测量、机械原理与零件等5个实验和实训室</w:t>
            </w:r>
          </w:p>
          <w:p w14:paraId="6C7AE276">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本专业行政用房面积达18.19平方米/生</w:t>
            </w:r>
          </w:p>
          <w:p w14:paraId="414EBAC2">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本专业生均教学科研仪器设备值达1.94万元/生</w:t>
            </w:r>
          </w:p>
        </w:tc>
        <w:tc>
          <w:tcPr>
            <w:tcW w:w="4684" w:type="dxa"/>
            <w:tcMar>
              <w:top w:w="57" w:type="dxa"/>
              <w:left w:w="108" w:type="dxa"/>
              <w:bottom w:w="57" w:type="dxa"/>
              <w:right w:w="108" w:type="dxa"/>
            </w:tcMar>
            <w:vAlign w:val="center"/>
          </w:tcPr>
          <w:p w14:paraId="045F81EB">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近三年专业实验实训室配置和使用的统计汇总材料；近三年专业生均教学行政用房统计汇总材料；近三年专业生均教学科研仪器设备值统计汇总材料</w:t>
            </w:r>
          </w:p>
          <w:p w14:paraId="5F07B4E3">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2023年、2024年、2025年金工、机械零件与产品测绘、工程力学、公差配合与测量、机械原理与零件等5个实验和实训室的配置（校资产台帐）和使用的统计汇总材料（机械学院教学存档资料）</w:t>
            </w:r>
          </w:p>
          <w:p w14:paraId="45B36239">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2023年、2024年、2025年本专业行政用房面积达18.19平方米/生的统计汇总材料（校资产台帐）</w:t>
            </w:r>
          </w:p>
          <w:p w14:paraId="0DCC04E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2023年、2024年、2025年本专业生均教学科研仪器设备值达1.94万元/生的统计汇总材料（校资产台帐）</w:t>
            </w:r>
          </w:p>
        </w:tc>
      </w:tr>
      <w:tr w14:paraId="0D6DA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09C1ED81">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6FC13591">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6230F55C">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0B41A3AA">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采信情况：专业报送材料、学校资产处存档材料及学校网站信息，采信</w:t>
            </w:r>
          </w:p>
          <w:p w14:paraId="7030710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1E30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43A0475D">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76DE8350">
            <w:pPr>
              <w:adjustRightInd w:val="0"/>
              <w:snapToGrid w:val="0"/>
              <w:ind w:firstLine="0" w:firstLineChars="0"/>
              <w:jc w:val="left"/>
              <w:rPr>
                <w:rFonts w:hint="eastAsia" w:ascii="宋体" w:hAnsi="宋体" w:eastAsia="宋体" w:cs="宋体"/>
                <w:color w:val="000000"/>
                <w:kern w:val="0"/>
              </w:rPr>
            </w:pPr>
            <w:r>
              <w:rPr>
                <w:rFonts w:ascii="宋体" w:hAnsi="宋体" w:eastAsia="宋体"/>
              </w:rPr>
              <w:t>9.2实践基地</w:t>
            </w:r>
          </w:p>
        </w:tc>
        <w:tc>
          <w:tcPr>
            <w:tcW w:w="2976" w:type="dxa"/>
            <w:tcMar>
              <w:top w:w="57" w:type="dxa"/>
              <w:left w:w="108" w:type="dxa"/>
              <w:bottom w:w="57" w:type="dxa"/>
              <w:right w:w="108" w:type="dxa"/>
            </w:tcMar>
            <w:vAlign w:val="center"/>
          </w:tcPr>
          <w:p w14:paraId="51608DAC">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校内外实践基地运行状态良好，其功能、实践工位数能支持学生专业能力和职业综合素质的培养要求</w:t>
            </w:r>
          </w:p>
          <w:p w14:paraId="0027D1D6">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：校内实践基地有增材制造实验实训室、精密测量实训室、VR虚拟仿真实训室、数控车削加工实训室、数控铣削加工实训室、电加工实训室、逆向工程实训室、模具拆装实训室等场所</w:t>
            </w:r>
          </w:p>
          <w:p w14:paraId="12A9A3C3">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校外实践基地包括无锡村田电子有限公司、无锡奥特维科技股份有限公司、江苏永瀚特种合金技术股份有限公司、无锡微研股份有限公司等12家校企合作企业</w:t>
            </w:r>
          </w:p>
        </w:tc>
        <w:tc>
          <w:tcPr>
            <w:tcW w:w="4684" w:type="dxa"/>
            <w:tcMar>
              <w:top w:w="57" w:type="dxa"/>
              <w:left w:w="108" w:type="dxa"/>
              <w:bottom w:w="57" w:type="dxa"/>
              <w:right w:w="108" w:type="dxa"/>
            </w:tcMar>
            <w:vAlign w:val="center"/>
          </w:tcPr>
          <w:p w14:paraId="10FC18FB">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近三年校内外实践基地的功能与实践工位数汇总分析材料；近三年校内外实践基地承接的合作教学项目及其学生习得的学习成果汇总分析材料</w:t>
            </w:r>
          </w:p>
          <w:p w14:paraId="32570C50">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增材制造实验实训室、精密测量实训室、VR虚拟仿真实训室、数控车削加工实训室、数控铣削加工实训室、电加工实训室、逆向工程实训室、模具拆装实训室配置台帐（学校资产台帐）</w:t>
            </w:r>
          </w:p>
          <w:p w14:paraId="50802EC3">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2023年、2024年、2025年校内实践基地实验或实训记录（智慧教务平台记录）</w:t>
            </w:r>
          </w:p>
          <w:p w14:paraId="608EC8C1">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12家校外实践基地共建协议</w:t>
            </w:r>
          </w:p>
          <w:p w14:paraId="60B86CC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具象4：</w:t>
            </w:r>
            <w:r>
              <w:rPr>
                <w:rFonts w:hint="eastAsia" w:ascii="宋体" w:hAnsi="宋体" w:eastAsia="宋体" w:cs="宋体"/>
                <w:color w:val="000000"/>
                <w:kern w:val="0"/>
              </w:rPr>
              <w:t>2023年、2024年、2025年校外实践基地学生实践活动记录（机械学院教学归档资料）</w:t>
            </w:r>
          </w:p>
        </w:tc>
      </w:tr>
      <w:tr w14:paraId="100A6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58756733">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2B04FE20">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7995C8FE">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024CC165">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采信情况：专业报送材料、学校资产处存档材料和学校网站信息，采信</w:t>
            </w:r>
          </w:p>
          <w:p w14:paraId="55A402C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4A43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7B6058E5">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3A3F35EA">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9</w:t>
            </w:r>
            <w:r>
              <w:rPr>
                <w:rFonts w:ascii="宋体" w:hAnsi="宋体" w:eastAsia="宋体"/>
              </w:rPr>
              <w:t>.3图书资源</w:t>
            </w:r>
          </w:p>
        </w:tc>
        <w:tc>
          <w:tcPr>
            <w:tcW w:w="2976" w:type="dxa"/>
            <w:tcMar>
              <w:top w:w="57" w:type="dxa"/>
              <w:left w:w="108" w:type="dxa"/>
              <w:bottom w:w="57" w:type="dxa"/>
              <w:right w:w="108" w:type="dxa"/>
            </w:tcMar>
            <w:vAlign w:val="center"/>
          </w:tcPr>
          <w:p w14:paraId="26041B11">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专业生均图书不低于60册/生</w:t>
            </w:r>
          </w:p>
          <w:p w14:paraId="068F127A">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本专业相关的图书的藏书信息，包括纸质图书和电子图书的总折算数达345册/生</w:t>
            </w:r>
          </w:p>
        </w:tc>
        <w:tc>
          <w:tcPr>
            <w:tcW w:w="4684" w:type="dxa"/>
            <w:tcMar>
              <w:top w:w="57" w:type="dxa"/>
              <w:left w:w="108" w:type="dxa"/>
              <w:bottom w:w="57" w:type="dxa"/>
              <w:right w:w="108" w:type="dxa"/>
            </w:tcMar>
            <w:vAlign w:val="center"/>
          </w:tcPr>
          <w:p w14:paraId="39C487BF">
            <w:pPr>
              <w:adjustRightInd w:val="0"/>
              <w:snapToGrid w:val="0"/>
              <w:rPr>
                <w:rFonts w:hint="eastAsia" w:ascii="宋体" w:hAnsi="宋体" w:eastAsia="宋体"/>
              </w:rPr>
            </w:pPr>
            <w:r>
              <w:rPr>
                <w:rFonts w:hint="eastAsia" w:ascii="楷体" w:hAnsi="楷体" w:eastAsia="楷体" w:cs="宋体"/>
                <w:color w:val="000000"/>
                <w:kern w:val="0"/>
              </w:rPr>
              <w:t>判断依据：</w:t>
            </w:r>
            <w:r>
              <w:rPr>
                <w:rFonts w:hint="eastAsia" w:ascii="宋体" w:hAnsi="宋体" w:eastAsia="宋体"/>
              </w:rPr>
              <w:t>近三年专业生均图书册数统计分析材料</w:t>
            </w:r>
          </w:p>
          <w:p w14:paraId="4398716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具象1：</w:t>
            </w:r>
            <w:r>
              <w:rPr>
                <w:rFonts w:hint="eastAsia" w:ascii="宋体" w:hAnsi="宋体" w:eastAsia="宋体"/>
              </w:rPr>
              <w:t>图书馆台帐</w:t>
            </w:r>
          </w:p>
        </w:tc>
      </w:tr>
      <w:tr w14:paraId="44E26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2C6F5DDC">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7707DD7">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41986E6F">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0FD15D3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采信情况：专业报送材料、图书馆台帐及学校网站信息，采信</w:t>
            </w:r>
          </w:p>
          <w:p w14:paraId="6DF0AB23">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6050D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3B9B8DB9">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5998B98A">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9.4信息化</w:t>
            </w:r>
          </w:p>
        </w:tc>
        <w:tc>
          <w:tcPr>
            <w:tcW w:w="2976" w:type="dxa"/>
            <w:tcMar>
              <w:top w:w="57" w:type="dxa"/>
              <w:left w:w="108" w:type="dxa"/>
              <w:bottom w:w="57" w:type="dxa"/>
              <w:right w:w="108" w:type="dxa"/>
            </w:tcMar>
            <w:vAlign w:val="center"/>
          </w:tcPr>
          <w:p w14:paraId="5312B9F9">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信息技术能支持线上线下混合式教学，能采集利用过程性数据进行教学工作诊断与改进</w:t>
            </w:r>
          </w:p>
          <w:p w14:paraId="1075734E">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2023年、2024年、2025年依托“智慧职教”“中国大学MOOC”等教学平台开展线上和线下教学</w:t>
            </w:r>
          </w:p>
          <w:p w14:paraId="04D535C1">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：2023年、2024年、2025年依托无锡职业技术大学教学管理平台，开展专业和课程等诊断与改进工作</w:t>
            </w:r>
          </w:p>
        </w:tc>
        <w:tc>
          <w:tcPr>
            <w:tcW w:w="4684" w:type="dxa"/>
            <w:tcMar>
              <w:top w:w="57" w:type="dxa"/>
              <w:left w:w="108" w:type="dxa"/>
              <w:bottom w:w="57" w:type="dxa"/>
              <w:right w:w="108" w:type="dxa"/>
            </w:tcMar>
            <w:vAlign w:val="center"/>
          </w:tcPr>
          <w:p w14:paraId="027BEC5B">
            <w:pPr>
              <w:adjustRightInd w:val="0"/>
              <w:snapToGrid w:val="0"/>
              <w:rPr>
                <w:rFonts w:hint="eastAsia" w:ascii="宋体" w:hAnsi="宋体" w:eastAsia="宋体"/>
              </w:rPr>
            </w:pPr>
            <w:r>
              <w:rPr>
                <w:rFonts w:hint="eastAsia" w:ascii="楷体" w:hAnsi="楷体" w:eastAsia="楷体" w:cs="宋体"/>
                <w:color w:val="000000"/>
                <w:kern w:val="0"/>
              </w:rPr>
              <w:t>判断依据：</w:t>
            </w:r>
            <w:r>
              <w:rPr>
                <w:rFonts w:hint="eastAsia" w:ascii="宋体" w:hAnsi="宋体" w:eastAsia="宋体"/>
              </w:rPr>
              <w:t>近三年专业课程在信息化教学平台的运行记录与数据分析；近三年依托信息化技术开展课程、专业诊断与改进工作的相关材料</w:t>
            </w:r>
          </w:p>
          <w:p w14:paraId="67271E39">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2023年、2024年、2025年专业在“智慧职教”、“中国大学MOOC”等教学平台开展线上和线下教学数据统计（现场平台查证）</w:t>
            </w:r>
          </w:p>
          <w:p w14:paraId="62BF4F44">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2023年、2024年、2025年在教学管理平台，开展专业和课程等的诊断与改进工作的过程数据信息（现场平台查证）</w:t>
            </w:r>
          </w:p>
        </w:tc>
      </w:tr>
      <w:tr w14:paraId="40609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91" w:hRule="atLeast"/>
          <w:jc w:val="right"/>
        </w:trPr>
        <w:tc>
          <w:tcPr>
            <w:tcW w:w="2334" w:type="dxa"/>
            <w:gridSpan w:val="2"/>
            <w:tcMar>
              <w:top w:w="57" w:type="dxa"/>
              <w:left w:w="108" w:type="dxa"/>
              <w:bottom w:w="57" w:type="dxa"/>
              <w:right w:w="108" w:type="dxa"/>
            </w:tcMar>
            <w:vAlign w:val="center"/>
          </w:tcPr>
          <w:p w14:paraId="1949F835">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5C3C98B">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0317AD7F">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3E67860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采信情况：专业报送材料、学校信息中心、学校教学管理平台和状态数据采集平台相关网站信息，采信</w:t>
            </w:r>
          </w:p>
          <w:p w14:paraId="248C95EE">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bl>
    <w:p w14:paraId="54062B6C">
      <w:pPr>
        <w:adjustRightInd w:val="0"/>
        <w:snapToGrid w:val="0"/>
        <w:spacing w:line="360" w:lineRule="auto"/>
        <w:ind w:firstLine="210"/>
        <w:rPr>
          <w:rFonts w:hint="eastAsia"/>
          <w:sz w:val="21"/>
          <w:szCs w:val="21"/>
        </w:rPr>
      </w:pPr>
    </w:p>
    <w:p w14:paraId="0BBCBD5B">
      <w:pPr>
        <w:adjustRightInd w:val="0"/>
        <w:snapToGrid w:val="0"/>
        <w:spacing w:line="360" w:lineRule="auto"/>
        <w:ind w:firstLine="210"/>
        <w:rPr>
          <w:rFonts w:hint="eastAsia"/>
          <w:sz w:val="21"/>
          <w:szCs w:val="21"/>
        </w:rPr>
      </w:pPr>
      <w:r>
        <w:rPr>
          <w:rFonts w:hint="eastAsia"/>
          <w:sz w:val="21"/>
          <w:szCs w:val="21"/>
        </w:rPr>
        <w:t>通过验证，提出如下修改意见：</w:t>
      </w:r>
    </w:p>
    <w:p w14:paraId="62B90DD8">
      <w:pPr>
        <w:adjustRightInd w:val="0"/>
        <w:snapToGrid w:val="0"/>
        <w:spacing w:line="360" w:lineRule="auto"/>
        <w:ind w:firstLine="210"/>
        <w:rPr>
          <w:rFonts w:hint="eastAsia" w:ascii="宋体" w:hAnsi="宋体" w:eastAsia="宋体" w:cs="宋体"/>
          <w:kern w:val="0"/>
          <w:sz w:val="21"/>
          <w:szCs w:val="21"/>
        </w:rPr>
      </w:pPr>
      <w:r>
        <w:rPr>
          <w:rFonts w:ascii="Times New Roman" w:hAnsi="Times New Roman"/>
          <w:sz w:val="21"/>
          <w:szCs w:val="21"/>
        </w:rPr>
        <w:t>——</w:t>
      </w:r>
      <w:r>
        <w:rPr>
          <w:rFonts w:hint="eastAsia" w:ascii="宋体" w:hAnsi="宋体" w:eastAsia="宋体" w:cs="宋体"/>
          <w:kern w:val="0"/>
          <w:sz w:val="21"/>
          <w:szCs w:val="21"/>
        </w:rPr>
        <w:t>2.2目标修订之判断依据中提出校级党组织审定要求，但判断基准无此内涵，故在判断基准中增加校级党组织审定要求；</w:t>
      </w:r>
    </w:p>
    <w:p w14:paraId="705503BD">
      <w:pPr>
        <w:adjustRightInd w:val="0"/>
        <w:snapToGrid w:val="0"/>
        <w:spacing w:line="360" w:lineRule="auto"/>
        <w:ind w:firstLine="210"/>
        <w:rPr>
          <w:rFonts w:ascii="Times New Roman" w:hAnsi="Times New Roman" w:eastAsia="宋体"/>
          <w:kern w:val="0"/>
          <w:sz w:val="21"/>
          <w:szCs w:val="21"/>
        </w:rPr>
      </w:pPr>
      <w:r>
        <w:rPr>
          <w:rFonts w:ascii="Times New Roman" w:hAnsi="Times New Roman"/>
          <w:sz w:val="21"/>
          <w:szCs w:val="21"/>
        </w:rPr>
        <w:t>——</w:t>
      </w:r>
      <w:r>
        <w:rPr>
          <w:rFonts w:hint="eastAsia" w:ascii="宋体" w:hAnsi="宋体" w:eastAsia="宋体" w:cs="宋体"/>
          <w:kern w:val="0"/>
          <w:sz w:val="21"/>
          <w:szCs w:val="21"/>
        </w:rPr>
        <w:t>3.1总体要求之判断依据中</w:t>
      </w:r>
      <w:r>
        <w:rPr>
          <w:rFonts w:ascii="Times New Roman" w:hAnsi="Times New Roman" w:eastAsia="宋体"/>
          <w:kern w:val="0"/>
          <w:sz w:val="21"/>
          <w:szCs w:val="21"/>
        </w:rPr>
        <w:t>多方参与的专业毕业要求定期修订机制文本与执行记录</w:t>
      </w:r>
      <w:r>
        <w:rPr>
          <w:rFonts w:hint="eastAsia" w:ascii="Times New Roman" w:hAnsi="Times New Roman" w:eastAsia="宋体"/>
          <w:kern w:val="0"/>
          <w:sz w:val="21"/>
          <w:szCs w:val="21"/>
        </w:rPr>
        <w:t>不在判断基准的要求内，现删除此判断依据；</w:t>
      </w:r>
    </w:p>
    <w:p w14:paraId="087D5590">
      <w:pPr>
        <w:adjustRightInd w:val="0"/>
        <w:snapToGrid w:val="0"/>
        <w:spacing w:line="360" w:lineRule="auto"/>
        <w:ind w:firstLine="210"/>
        <w:rPr>
          <w:rFonts w:hint="eastAsia" w:ascii="宋体" w:hAnsi="宋体" w:eastAsia="宋体"/>
          <w:sz w:val="21"/>
          <w:szCs w:val="21"/>
        </w:rPr>
      </w:pPr>
      <w:r>
        <w:rPr>
          <w:rFonts w:ascii="Times New Roman" w:hAnsi="Times New Roman"/>
          <w:sz w:val="21"/>
          <w:szCs w:val="21"/>
        </w:rPr>
        <w:t>——</w:t>
      </w:r>
      <w:r>
        <w:rPr>
          <w:rFonts w:hint="eastAsia" w:ascii="宋体" w:hAnsi="宋体" w:eastAsia="宋体"/>
          <w:sz w:val="21"/>
          <w:szCs w:val="21"/>
        </w:rPr>
        <w:t>7.4专业教师学科背景中，以前政策允许不达到本科学历的高级技能工可以从事实践类教学，在判断基准中将本学科以上学历100%调整至80%；</w:t>
      </w:r>
    </w:p>
    <w:p w14:paraId="4B481801">
      <w:pPr>
        <w:adjustRightInd w:val="0"/>
        <w:snapToGrid w:val="0"/>
        <w:spacing w:line="360" w:lineRule="auto"/>
        <w:ind w:firstLine="210"/>
        <w:rPr>
          <w:rFonts w:hint="eastAsia" w:ascii="宋体" w:hAnsi="宋体" w:eastAsia="宋体"/>
          <w:sz w:val="21"/>
          <w:szCs w:val="21"/>
        </w:rPr>
      </w:pPr>
      <w:r>
        <w:rPr>
          <w:rFonts w:ascii="Times New Roman" w:hAnsi="Times New Roman"/>
          <w:sz w:val="21"/>
          <w:szCs w:val="21"/>
        </w:rPr>
        <w:t>——</w:t>
      </w:r>
      <w:r>
        <w:rPr>
          <w:rFonts w:hint="eastAsia" w:ascii="宋体" w:hAnsi="宋体" w:eastAsia="宋体"/>
          <w:sz w:val="21"/>
          <w:szCs w:val="21"/>
        </w:rPr>
        <w:t>7.6企业导师，企业技术骨干受聘承担专业课程教学任务单列在本指标的判断基准中，不再在8.3合作成效中重复设置相同要求</w:t>
      </w:r>
    </w:p>
    <w:p w14:paraId="27CDBC07">
      <w:pPr>
        <w:adjustRightInd w:val="0"/>
        <w:snapToGrid w:val="0"/>
        <w:spacing w:line="360" w:lineRule="auto"/>
        <w:ind w:firstLine="210"/>
        <w:rPr>
          <w:rFonts w:ascii="Times New Roman" w:hAnsi="Times New Roman"/>
          <w:sz w:val="21"/>
          <w:szCs w:val="21"/>
        </w:rPr>
      </w:pPr>
      <w:r>
        <w:rPr>
          <w:rFonts w:ascii="Times New Roman" w:hAnsi="Times New Roman"/>
          <w:sz w:val="21"/>
          <w:szCs w:val="21"/>
        </w:rPr>
        <w:t>——</w:t>
      </w:r>
      <w:r>
        <w:rPr>
          <w:rFonts w:hint="eastAsia"/>
          <w:sz w:val="21"/>
          <w:szCs w:val="21"/>
        </w:rPr>
        <w:t>8.3合作成效包括为企业提供技术服务，将之增加到判断依据中。</w:t>
      </w:r>
    </w:p>
    <w:p w14:paraId="1AB30DF8">
      <w:pPr>
        <w:adjustRightInd w:val="0"/>
        <w:snapToGrid w:val="0"/>
        <w:spacing w:line="360" w:lineRule="auto"/>
        <w:ind w:firstLine="210"/>
        <w:rPr>
          <w:rFonts w:hint="eastAsia"/>
          <w:sz w:val="21"/>
          <w:szCs w:val="21"/>
        </w:rPr>
      </w:pPr>
      <w:r>
        <w:rPr>
          <w:rFonts w:hint="eastAsia"/>
          <w:sz w:val="21"/>
          <w:szCs w:val="21"/>
        </w:rPr>
        <w:t>经修改后，试验验证机构评估认为，本标准各项评价指标科学合理、试验方法可行。</w:t>
      </w:r>
    </w:p>
    <w:p w14:paraId="622BAA20">
      <w:pPr>
        <w:pStyle w:val="3"/>
      </w:pPr>
      <w:r>
        <w:rPr>
          <w:rFonts w:hint="eastAsia"/>
        </w:rPr>
        <w:t>五、标准中涉及专利的情况</w:t>
      </w:r>
    </w:p>
    <w:p w14:paraId="402A6EF5">
      <w:pPr>
        <w:adjustRightInd w:val="0"/>
        <w:snapToGrid w:val="0"/>
        <w:spacing w:line="360" w:lineRule="auto"/>
        <w:ind w:firstLine="210"/>
        <w:rPr>
          <w:rFonts w:hint="eastAsia"/>
          <w:sz w:val="21"/>
          <w:szCs w:val="21"/>
        </w:rPr>
      </w:pPr>
      <w:r>
        <w:rPr>
          <w:rFonts w:hint="eastAsia"/>
          <w:sz w:val="21"/>
          <w:szCs w:val="21"/>
        </w:rPr>
        <w:t>本文件内容不涉及专利。</w:t>
      </w:r>
    </w:p>
    <w:p w14:paraId="36EF84F8">
      <w:pPr>
        <w:pStyle w:val="3"/>
      </w:pPr>
      <w:r>
        <w:rPr>
          <w:rFonts w:hint="eastAsia"/>
        </w:rPr>
        <w:t>六、预期达到的社会效益、对产业发展的作用等情况</w:t>
      </w:r>
    </w:p>
    <w:p w14:paraId="1DCD0160">
      <w:pPr>
        <w:adjustRightInd w:val="0"/>
        <w:snapToGrid w:val="0"/>
        <w:spacing w:line="360" w:lineRule="auto"/>
        <w:ind w:firstLine="210"/>
        <w:rPr>
          <w:rFonts w:hint="eastAsia"/>
          <w:sz w:val="21"/>
          <w:szCs w:val="21"/>
        </w:rPr>
      </w:pPr>
      <w:r>
        <w:rPr>
          <w:rFonts w:hint="eastAsia"/>
          <w:sz w:val="21"/>
          <w:szCs w:val="21"/>
        </w:rPr>
        <w:t>本文件的研制填补了机械行业职业教育专业教学质量的评价空白，可为机械行业数改智转、发展新质生产力，更高效地更具针对性地规范高技能人才的培养标准；</w:t>
      </w:r>
    </w:p>
    <w:p w14:paraId="5CBA8D33">
      <w:pPr>
        <w:adjustRightInd w:val="0"/>
        <w:snapToGrid w:val="0"/>
        <w:spacing w:line="360" w:lineRule="auto"/>
        <w:ind w:firstLine="210"/>
        <w:rPr>
          <w:rFonts w:hint="eastAsia"/>
          <w:sz w:val="21"/>
          <w:szCs w:val="21"/>
        </w:rPr>
      </w:pPr>
      <w:r>
        <w:rPr>
          <w:rFonts w:hint="eastAsia"/>
          <w:sz w:val="21"/>
          <w:szCs w:val="21"/>
        </w:rPr>
        <w:t>本文件最终目标是构建“行业认可、院校落实、学生受益”的良性循环，形成教育链、人才链与产业链的紧密衔接，可为制造业高质量发展提供坚实的人才支撑。</w:t>
      </w:r>
    </w:p>
    <w:p w14:paraId="7BC7C8BF">
      <w:pPr>
        <w:pStyle w:val="3"/>
      </w:pPr>
      <w:r>
        <w:rPr>
          <w:rFonts w:hint="eastAsia"/>
        </w:rPr>
        <w:t>七、采用国际标准和国外先进标准情况</w:t>
      </w:r>
    </w:p>
    <w:p w14:paraId="3A6D44D1">
      <w:pPr>
        <w:adjustRightInd w:val="0"/>
        <w:snapToGrid w:val="0"/>
        <w:spacing w:line="360" w:lineRule="auto"/>
        <w:ind w:firstLine="210"/>
        <w:rPr>
          <w:rFonts w:hint="eastAsia"/>
          <w:sz w:val="21"/>
          <w:szCs w:val="21"/>
        </w:rPr>
      </w:pPr>
      <w:r>
        <w:rPr>
          <w:rFonts w:hint="eastAsia"/>
          <w:sz w:val="21"/>
          <w:szCs w:val="21"/>
        </w:rPr>
        <w:t>本文件无可参考的国际标准和国外先进标准。</w:t>
      </w:r>
    </w:p>
    <w:p w14:paraId="0CF5E277">
      <w:pPr>
        <w:pStyle w:val="3"/>
        <w:keepNext w:val="0"/>
      </w:pPr>
      <w:r>
        <w:rPr>
          <w:rFonts w:hint="eastAsia"/>
        </w:rPr>
        <w:t>八、与现行相关法律、法规、规章及相关标准，特别是强制性标准的协调性</w:t>
      </w:r>
    </w:p>
    <w:p w14:paraId="4FFDAF38">
      <w:pPr>
        <w:adjustRightInd w:val="0"/>
        <w:snapToGrid w:val="0"/>
        <w:spacing w:line="360" w:lineRule="auto"/>
        <w:ind w:firstLine="420" w:firstLineChars="200"/>
        <w:rPr>
          <w:rFonts w:hint="eastAsia"/>
          <w:sz w:val="21"/>
          <w:szCs w:val="21"/>
        </w:rPr>
      </w:pPr>
      <w:r>
        <w:rPr>
          <w:rFonts w:hint="eastAsia"/>
          <w:sz w:val="21"/>
          <w:szCs w:val="21"/>
        </w:rPr>
        <w:t>本文件遵循了以下现有法律、法规、规章和标准。</w:t>
      </w:r>
    </w:p>
    <w:p w14:paraId="5237D5D4">
      <w:pPr>
        <w:adjustRightInd w:val="0"/>
        <w:snapToGrid w:val="0"/>
        <w:spacing w:line="360" w:lineRule="auto"/>
        <w:ind w:firstLine="420" w:firstLineChars="200"/>
        <w:rPr>
          <w:rFonts w:hint="eastAsia"/>
          <w:sz w:val="21"/>
          <w:szCs w:val="21"/>
        </w:rPr>
      </w:pPr>
      <w:r>
        <w:rPr>
          <w:rFonts w:hint="eastAsia"/>
          <w:sz w:val="21"/>
          <w:szCs w:val="21"/>
        </w:rPr>
        <w:t>遵循的法律有：</w:t>
      </w:r>
      <w:r>
        <w:rPr>
          <w:sz w:val="21"/>
          <w:szCs w:val="21"/>
        </w:rPr>
        <w:t>《中华人民共和国职业教育法》（2022年修订）</w:t>
      </w:r>
      <w:r>
        <w:rPr>
          <w:rFonts w:hint="eastAsia"/>
          <w:sz w:val="21"/>
          <w:szCs w:val="21"/>
        </w:rPr>
        <w:t>；</w:t>
      </w:r>
    </w:p>
    <w:p w14:paraId="431301BA">
      <w:pPr>
        <w:adjustRightInd w:val="0"/>
        <w:snapToGrid w:val="0"/>
        <w:spacing w:line="360" w:lineRule="auto"/>
        <w:ind w:firstLine="420" w:firstLineChars="200"/>
        <w:rPr>
          <w:rFonts w:ascii="Times New Roman" w:hAnsi="Times New Roman" w:eastAsia="宋体" w:cs="黑体"/>
          <w:sz w:val="21"/>
          <w:szCs w:val="21"/>
        </w:rPr>
      </w:pPr>
      <w:r>
        <w:rPr>
          <w:rFonts w:hint="eastAsia" w:ascii="Times New Roman" w:hAnsi="Times New Roman" w:eastAsia="宋体" w:cs="黑体"/>
          <w:sz w:val="21"/>
          <w:szCs w:val="21"/>
        </w:rPr>
        <w:t>遵循的法规有：</w:t>
      </w:r>
      <w:r>
        <w:rPr>
          <w:rFonts w:ascii="Times New Roman" w:hAnsi="Times New Roman" w:eastAsia="宋体" w:cs="黑体"/>
          <w:sz w:val="21"/>
          <w:szCs w:val="21"/>
        </w:rPr>
        <w:t>教育部、国家发展改革委、工业和信息化部、财政部、人力资源社会保障部和</w:t>
      </w:r>
      <w:r>
        <w:fldChar w:fldCharType="begin"/>
      </w:r>
      <w:r>
        <w:instrText xml:space="preserve"> HYPERLINK "https://baike.so.com/doc/5352370-5587828.html" \t "_blank" </w:instrText>
      </w:r>
      <w:r>
        <w:fldChar w:fldCharType="separate"/>
      </w:r>
      <w:r>
        <w:rPr>
          <w:rFonts w:ascii="Times New Roman" w:hAnsi="Times New Roman" w:eastAsia="宋体" w:cs="黑体"/>
          <w:sz w:val="21"/>
          <w:szCs w:val="21"/>
        </w:rPr>
        <w:t>国家税务总局</w:t>
      </w:r>
      <w:r>
        <w:rPr>
          <w:rFonts w:ascii="Times New Roman" w:hAnsi="Times New Roman" w:eastAsia="宋体" w:cs="黑体"/>
          <w:sz w:val="21"/>
          <w:szCs w:val="21"/>
        </w:rPr>
        <w:fldChar w:fldCharType="end"/>
      </w:r>
      <w:r>
        <w:rPr>
          <w:rFonts w:hint="eastAsia" w:ascii="Times New Roman" w:hAnsi="Times New Roman" w:eastAsia="宋体" w:cs="黑体"/>
          <w:sz w:val="21"/>
          <w:szCs w:val="21"/>
        </w:rPr>
        <w:t>制定</w:t>
      </w:r>
      <w:r>
        <w:rPr>
          <w:rFonts w:ascii="Times New Roman" w:hAnsi="Times New Roman" w:eastAsia="宋体" w:cs="黑体"/>
          <w:sz w:val="21"/>
          <w:szCs w:val="21"/>
        </w:rPr>
        <w:t>《职业学校校企合作促进办法》（</w:t>
      </w:r>
      <w:r>
        <w:rPr>
          <w:rFonts w:hint="eastAsia" w:ascii="Times New Roman" w:hAnsi="Times New Roman" w:eastAsia="宋体" w:cs="黑体"/>
          <w:sz w:val="21"/>
          <w:szCs w:val="21"/>
        </w:rPr>
        <w:t>职教成</w:t>
      </w:r>
      <w:r>
        <w:rPr>
          <w:rFonts w:hint="eastAsia"/>
          <w:sz w:val="21"/>
          <w:szCs w:val="21"/>
        </w:rPr>
        <w:t>〔</w:t>
      </w:r>
      <w:r>
        <w:rPr>
          <w:rFonts w:hint="eastAsia" w:ascii="Times New Roman" w:hAnsi="Times New Roman" w:eastAsia="宋体" w:cs="黑体"/>
          <w:sz w:val="21"/>
          <w:szCs w:val="21"/>
        </w:rPr>
        <w:t>2018</w:t>
      </w:r>
      <w:r>
        <w:rPr>
          <w:rFonts w:hint="eastAsia"/>
          <w:sz w:val="21"/>
          <w:szCs w:val="21"/>
        </w:rPr>
        <w:t>〕</w:t>
      </w:r>
      <w:r>
        <w:rPr>
          <w:rFonts w:hint="eastAsia" w:ascii="Times New Roman" w:hAnsi="Times New Roman" w:eastAsia="宋体" w:cs="黑体"/>
          <w:sz w:val="21"/>
          <w:szCs w:val="21"/>
        </w:rPr>
        <w:t>1号</w:t>
      </w:r>
      <w:r>
        <w:rPr>
          <w:rFonts w:ascii="Times New Roman" w:hAnsi="Times New Roman" w:eastAsia="宋体" w:cs="黑体"/>
          <w:sz w:val="21"/>
          <w:szCs w:val="21"/>
        </w:rPr>
        <w:t>）</w:t>
      </w:r>
      <w:r>
        <w:rPr>
          <w:rFonts w:hint="eastAsia" w:ascii="Times New Roman" w:hAnsi="Times New Roman" w:eastAsia="宋体" w:cs="黑体"/>
          <w:sz w:val="21"/>
          <w:szCs w:val="21"/>
        </w:rPr>
        <w:t>；</w:t>
      </w:r>
    </w:p>
    <w:p w14:paraId="4B3622FF">
      <w:pPr>
        <w:adjustRightInd w:val="0"/>
        <w:snapToGrid w:val="0"/>
        <w:spacing w:line="360" w:lineRule="auto"/>
        <w:ind w:firstLine="420" w:firstLineChars="200"/>
        <w:rPr>
          <w:rFonts w:hint="eastAsia"/>
          <w:sz w:val="21"/>
          <w:szCs w:val="21"/>
        </w:rPr>
      </w:pPr>
      <w:r>
        <w:rPr>
          <w:rFonts w:hint="eastAsia"/>
          <w:sz w:val="21"/>
          <w:szCs w:val="21"/>
        </w:rPr>
        <w:t>遵循的规章有：教育部《普通高等学校高等职业教育（专科）专业设置管理办法》（教职成〔2015〕10号）、教育部《高等学校课程思政建设指导纲要》（教高〔2020〕3号）、教育部《关于职业院校专业人才培养方案制订与实施工作的指导意见》（教职成〔2019〕13号）、国务院《国家职业教育改革实施方案》（国发〔2019〕4号）、中共中央办公厅 国务院办公厅</w:t>
      </w:r>
      <w:r>
        <w:rPr>
          <w:sz w:val="21"/>
          <w:szCs w:val="21"/>
        </w:rPr>
        <w:t>《关于推动现代职业教育高质量发展的意见》（2021年）</w:t>
      </w:r>
      <w:r>
        <w:rPr>
          <w:rFonts w:hint="eastAsia"/>
          <w:sz w:val="21"/>
          <w:szCs w:val="21"/>
        </w:rPr>
        <w:t>、教育部等九部门</w:t>
      </w:r>
      <w:r>
        <w:rPr>
          <w:sz w:val="21"/>
          <w:szCs w:val="21"/>
        </w:rPr>
        <w:t>《职业教育提质培优行动计划（2020-2023年）》（教职成〔2020〕7号）》</w:t>
      </w:r>
      <w:r>
        <w:rPr>
          <w:rFonts w:hint="eastAsia"/>
          <w:sz w:val="21"/>
          <w:szCs w:val="21"/>
        </w:rPr>
        <w:t>、中共中央 国务院</w:t>
      </w:r>
      <w:r>
        <w:rPr>
          <w:sz w:val="21"/>
          <w:szCs w:val="21"/>
        </w:rPr>
        <w:t>《关于深化新时代教育评价改革总体方案》（2020年</w:t>
      </w:r>
      <w:r>
        <w:rPr>
          <w:rFonts w:hint="eastAsia"/>
          <w:sz w:val="21"/>
          <w:szCs w:val="21"/>
        </w:rPr>
        <w:t>）、教育部 财政部</w:t>
      </w:r>
      <w:r>
        <w:rPr>
          <w:sz w:val="21"/>
          <w:szCs w:val="21"/>
        </w:rPr>
        <w:t>《</w:t>
      </w:r>
      <w:r>
        <w:rPr>
          <w:rFonts w:hint="eastAsia"/>
          <w:sz w:val="21"/>
          <w:szCs w:val="21"/>
        </w:rPr>
        <w:t>关于实施职业院校教师素质提高计划（2021—2025年）的通知》（教师函〔2021〕6号）、教育部《关于全面推进职业院校教学工作诊断与改进制度建设的通知》（教职成司函</w:t>
      </w:r>
      <w:r>
        <w:rPr>
          <w:sz w:val="21"/>
          <w:szCs w:val="21"/>
        </w:rPr>
        <w:t>〔</w:t>
      </w:r>
      <w:r>
        <w:rPr>
          <w:rFonts w:hint="eastAsia"/>
          <w:sz w:val="21"/>
          <w:szCs w:val="21"/>
        </w:rPr>
        <w:t>2017</w:t>
      </w:r>
      <w:r>
        <w:rPr>
          <w:sz w:val="21"/>
          <w:szCs w:val="21"/>
        </w:rPr>
        <w:t>〕</w:t>
      </w:r>
      <w:r>
        <w:rPr>
          <w:rFonts w:hint="eastAsia"/>
          <w:sz w:val="21"/>
          <w:szCs w:val="21"/>
        </w:rPr>
        <w:t>56号）》、教育部</w:t>
      </w:r>
      <w:r>
        <w:rPr>
          <w:sz w:val="21"/>
          <w:szCs w:val="21"/>
        </w:rPr>
        <w:t>《教育信息化2.0行动计划》（</w:t>
      </w:r>
      <w:r>
        <w:rPr>
          <w:rFonts w:hint="eastAsia" w:ascii="Times New Roman" w:hAnsi="Times New Roman" w:eastAsia="宋体" w:cs="黑体"/>
          <w:sz w:val="21"/>
          <w:szCs w:val="21"/>
        </w:rPr>
        <w:t>教技</w:t>
      </w:r>
      <w:r>
        <w:rPr>
          <w:rFonts w:hint="eastAsia"/>
          <w:sz w:val="21"/>
          <w:szCs w:val="21"/>
        </w:rPr>
        <w:t>〔</w:t>
      </w:r>
      <w:r>
        <w:rPr>
          <w:rFonts w:hint="eastAsia" w:ascii="Times New Roman" w:hAnsi="Times New Roman" w:eastAsia="宋体" w:cs="黑体"/>
          <w:sz w:val="21"/>
          <w:szCs w:val="21"/>
        </w:rPr>
        <w:t>2018</w:t>
      </w:r>
      <w:r>
        <w:rPr>
          <w:rFonts w:hint="eastAsia"/>
          <w:sz w:val="21"/>
          <w:szCs w:val="21"/>
        </w:rPr>
        <w:t>〕</w:t>
      </w:r>
      <w:r>
        <w:rPr>
          <w:rFonts w:hint="eastAsia" w:ascii="Times New Roman" w:hAnsi="Times New Roman" w:eastAsia="宋体" w:cs="黑体"/>
          <w:sz w:val="21"/>
          <w:szCs w:val="21"/>
        </w:rPr>
        <w:t>6号</w:t>
      </w:r>
      <w:r>
        <w:rPr>
          <w:sz w:val="21"/>
          <w:szCs w:val="21"/>
        </w:rPr>
        <w:t>）</w:t>
      </w:r>
      <w:r>
        <w:rPr>
          <w:rFonts w:hint="eastAsia"/>
          <w:sz w:val="21"/>
          <w:szCs w:val="21"/>
        </w:rPr>
        <w:t>；</w:t>
      </w:r>
    </w:p>
    <w:p w14:paraId="76E97616">
      <w:pPr>
        <w:adjustRightInd w:val="0"/>
        <w:snapToGrid w:val="0"/>
        <w:spacing w:line="360" w:lineRule="auto"/>
        <w:ind w:firstLine="420" w:firstLineChars="200"/>
        <w:rPr>
          <w:rFonts w:hint="eastAsia"/>
          <w:sz w:val="21"/>
          <w:szCs w:val="21"/>
        </w:rPr>
      </w:pPr>
      <w:r>
        <w:rPr>
          <w:rFonts w:hint="eastAsia"/>
          <w:sz w:val="21"/>
          <w:szCs w:val="21"/>
        </w:rPr>
        <w:t>遵循的标准有：教育部《职业教育专业教学标准》（2025年修（制）订）、教育部《普通高等学校基本办学条件指标（试行）》。</w:t>
      </w:r>
    </w:p>
    <w:p w14:paraId="756427F2">
      <w:pPr>
        <w:pStyle w:val="3"/>
      </w:pPr>
      <w:r>
        <w:rPr>
          <w:rFonts w:hint="eastAsia"/>
        </w:rPr>
        <w:t>九、重大分歧意见的处理经过和依据</w:t>
      </w:r>
    </w:p>
    <w:p w14:paraId="1E5D55CB">
      <w:pPr>
        <w:adjustRightInd w:val="0"/>
        <w:snapToGrid w:val="0"/>
        <w:spacing w:line="360" w:lineRule="auto"/>
        <w:ind w:firstLine="210"/>
        <w:rPr>
          <w:rFonts w:hint="eastAsia"/>
          <w:sz w:val="21"/>
          <w:szCs w:val="21"/>
        </w:rPr>
      </w:pPr>
      <w:r>
        <w:rPr>
          <w:rFonts w:hint="eastAsia"/>
          <w:sz w:val="21"/>
          <w:szCs w:val="21"/>
        </w:rPr>
        <w:t>无重大分歧意见。</w:t>
      </w:r>
    </w:p>
    <w:p w14:paraId="2B765CEC">
      <w:pPr>
        <w:pStyle w:val="3"/>
      </w:pPr>
      <w:r>
        <w:rPr>
          <w:rFonts w:hint="eastAsia"/>
        </w:rPr>
        <w:t>十、其他应予说明的事项</w:t>
      </w:r>
    </w:p>
    <w:p w14:paraId="5443B959">
      <w:pPr>
        <w:adjustRightInd w:val="0"/>
        <w:snapToGrid w:val="0"/>
        <w:spacing w:line="360" w:lineRule="auto"/>
        <w:ind w:firstLine="210"/>
        <w:jc w:val="left"/>
        <w:rPr>
          <w:rFonts w:hint="eastAsia"/>
          <w:sz w:val="21"/>
          <w:szCs w:val="21"/>
        </w:rPr>
      </w:pPr>
      <w:r>
        <w:rPr>
          <w:rFonts w:hint="eastAsia"/>
          <w:sz w:val="21"/>
          <w:szCs w:val="21"/>
        </w:rPr>
        <w:t>根据</w:t>
      </w:r>
      <w:r>
        <w:rPr>
          <w:rFonts w:hint="eastAsia"/>
          <w:sz w:val="21"/>
          <w:szCs w:val="21"/>
          <w:lang w:val="en-US" w:eastAsia="zh-CN"/>
        </w:rPr>
        <w:t>2025年6月《教育部关于同意设置无锡职业技术大学的函》（教发函〔2025〕281 号），第一起草单位“无锡职业技术学院”更</w:t>
      </w:r>
      <w:r>
        <w:rPr>
          <w:rFonts w:hint="eastAsia"/>
          <w:sz w:val="21"/>
          <w:szCs w:val="21"/>
        </w:rPr>
        <w:t>名为</w:t>
      </w:r>
      <w:r>
        <w:rPr>
          <w:rFonts w:hint="eastAsia"/>
          <w:sz w:val="21"/>
          <w:szCs w:val="21"/>
          <w:lang w:eastAsia="zh-CN"/>
        </w:rPr>
        <w:t>“</w:t>
      </w:r>
      <w:r>
        <w:rPr>
          <w:rFonts w:hint="eastAsia"/>
          <w:sz w:val="21"/>
          <w:szCs w:val="21"/>
        </w:rPr>
        <w:t>无锡职业技术大学</w:t>
      </w:r>
      <w:r>
        <w:rPr>
          <w:rFonts w:hint="eastAsia"/>
          <w:sz w:val="21"/>
          <w:szCs w:val="21"/>
          <w:lang w:eastAsia="zh-CN"/>
        </w:rPr>
        <w:t>”。</w:t>
      </w:r>
    </w:p>
    <w:p w14:paraId="323C6BF5">
      <w:pPr>
        <w:adjustRightInd w:val="0"/>
        <w:snapToGrid w:val="0"/>
        <w:spacing w:line="360" w:lineRule="auto"/>
        <w:ind w:firstLine="210"/>
        <w:rPr>
          <w:rFonts w:hint="eastAsia"/>
          <w:sz w:val="21"/>
          <w:szCs w:val="21"/>
        </w:rPr>
      </w:pPr>
      <w:r>
        <w:rPr>
          <w:rFonts w:hint="eastAsia"/>
          <w:sz w:val="21"/>
          <w:szCs w:val="21"/>
        </w:rPr>
        <w:t>本文件在标准起草阶段</w:t>
      </w:r>
      <w:r>
        <w:rPr>
          <w:rFonts w:hint="eastAsia"/>
          <w:color w:val="auto"/>
          <w:sz w:val="21"/>
          <w:szCs w:val="21"/>
        </w:rPr>
        <w:t>召开研讨会，专家提议</w:t>
      </w:r>
      <w:r>
        <w:rPr>
          <w:rFonts w:hint="eastAsia"/>
          <w:color w:val="auto"/>
          <w:sz w:val="21"/>
          <w:szCs w:val="21"/>
          <w:lang w:eastAsia="zh-CN"/>
        </w:rPr>
        <w:t>，</w:t>
      </w:r>
      <w:r>
        <w:rPr>
          <w:rFonts w:hint="eastAsia"/>
          <w:color w:val="auto"/>
          <w:sz w:val="21"/>
          <w:szCs w:val="21"/>
        </w:rPr>
        <w:t>机械行业的职业教育领域标准要形成机械行业职业教育的标准系列</w:t>
      </w:r>
      <w:r>
        <w:rPr>
          <w:rFonts w:hint="eastAsia"/>
          <w:color w:val="auto"/>
          <w:sz w:val="21"/>
          <w:szCs w:val="21"/>
          <w:lang w:eastAsia="zh-CN"/>
        </w:rPr>
        <w:t>，</w:t>
      </w:r>
      <w:r>
        <w:rPr>
          <w:rFonts w:hint="eastAsia"/>
          <w:color w:val="auto"/>
          <w:sz w:val="21"/>
          <w:szCs w:val="21"/>
        </w:rPr>
        <w:t>凡</w:t>
      </w:r>
      <w:r>
        <w:rPr>
          <w:rFonts w:hint="eastAsia"/>
          <w:color w:val="auto"/>
          <w:sz w:val="21"/>
          <w:szCs w:val="21"/>
          <w:lang w:val="en-US" w:eastAsia="zh-CN"/>
        </w:rPr>
        <w:t>中国</w:t>
      </w:r>
      <w:r>
        <w:rPr>
          <w:rFonts w:hint="eastAsia"/>
          <w:color w:val="auto"/>
          <w:sz w:val="21"/>
          <w:szCs w:val="21"/>
        </w:rPr>
        <w:t>机械工业联</w:t>
      </w:r>
      <w:r>
        <w:rPr>
          <w:rFonts w:hint="eastAsia"/>
          <w:color w:val="auto"/>
          <w:sz w:val="21"/>
          <w:szCs w:val="21"/>
          <w:lang w:val="en-US" w:eastAsia="zh-CN"/>
        </w:rPr>
        <w:t>合</w:t>
      </w:r>
      <w:r>
        <w:rPr>
          <w:rFonts w:hint="eastAsia"/>
          <w:color w:val="auto"/>
          <w:sz w:val="21"/>
          <w:szCs w:val="21"/>
        </w:rPr>
        <w:t>会指导起草的职业教育标准应设立“机械行业职业教育</w:t>
      </w:r>
      <w:r>
        <w:rPr>
          <w:rFonts w:hint="eastAsia"/>
          <w:sz w:val="21"/>
          <w:szCs w:val="21"/>
        </w:rPr>
        <w:t>”系列，研制组采纳该提议，本文件名称修改为</w:t>
      </w:r>
      <w:r>
        <w:rPr>
          <w:rFonts w:hint="eastAsia"/>
          <w:sz w:val="21"/>
          <w:szCs w:val="21"/>
          <w:lang w:eastAsia="zh-CN"/>
        </w:rPr>
        <w:t>《</w:t>
      </w:r>
      <w:r>
        <w:rPr>
          <w:rFonts w:hint="eastAsia"/>
          <w:sz w:val="21"/>
          <w:szCs w:val="21"/>
        </w:rPr>
        <w:t>机械行业职业教育  专科专业教学质量评价规范</w:t>
      </w:r>
      <w:r>
        <w:rPr>
          <w:rFonts w:hint="eastAsia"/>
          <w:sz w:val="21"/>
          <w:szCs w:val="21"/>
          <w:lang w:eastAsia="zh-CN"/>
        </w:rPr>
        <w:t>》</w:t>
      </w:r>
      <w:r>
        <w:rPr>
          <w:rFonts w:hint="eastAsia"/>
          <w:sz w:val="21"/>
          <w:szCs w:val="21"/>
        </w:rPr>
        <w:t>。</w:t>
      </w:r>
    </w:p>
    <w:p w14:paraId="46D3D0CB">
      <w:pPr>
        <w:adjustRightInd w:val="0"/>
        <w:snapToGrid w:val="0"/>
        <w:spacing w:line="360" w:lineRule="auto"/>
        <w:ind w:firstLine="210"/>
        <w:rPr>
          <w:rFonts w:hint="eastAsia"/>
          <w:sz w:val="21"/>
          <w:szCs w:val="21"/>
        </w:rPr>
      </w:pPr>
      <w:r>
        <w:rPr>
          <w:rFonts w:hint="eastAsia"/>
          <w:sz w:val="21"/>
          <w:szCs w:val="21"/>
        </w:rPr>
        <w:br w:type="page"/>
      </w:r>
    </w:p>
    <w:p w14:paraId="46FDDC07">
      <w:pPr>
        <w:pStyle w:val="3"/>
      </w:pPr>
      <w:r>
        <w:rPr>
          <w:rFonts w:hint="eastAsia"/>
        </w:rPr>
        <w:t>附件</w:t>
      </w:r>
      <w:bookmarkEnd w:id="0"/>
    </w:p>
    <w:p w14:paraId="13EEE20C">
      <w:pPr>
        <w:adjustRightInd w:val="0"/>
        <w:snapToGrid w:val="0"/>
        <w:spacing w:line="360" w:lineRule="auto"/>
        <w:ind w:firstLine="210"/>
        <w:rPr>
          <w:rFonts w:hint="eastAsia"/>
          <w:sz w:val="21"/>
          <w:szCs w:val="21"/>
        </w:rPr>
      </w:pPr>
    </w:p>
    <w:p w14:paraId="4E62903E">
      <w:pPr>
        <w:adjustRightInd w:val="0"/>
        <w:snapToGrid w:val="0"/>
        <w:spacing w:line="360" w:lineRule="auto"/>
        <w:ind w:firstLine="0" w:firstLineChars="0"/>
        <w:jc w:val="center"/>
        <w:rPr>
          <w:rFonts w:hint="eastAsia"/>
          <w:sz w:val="32"/>
          <w:szCs w:val="32"/>
        </w:rPr>
      </w:pPr>
      <w:r>
        <w:rPr>
          <w:rFonts w:hint="eastAsia"/>
          <w:sz w:val="32"/>
          <w:szCs w:val="32"/>
        </w:rPr>
        <w:t>机械行业职业教育  专科专业教学质量评价规范试验验证报告</w:t>
      </w:r>
    </w:p>
    <w:p w14:paraId="364488F8">
      <w:pPr>
        <w:adjustRightInd w:val="0"/>
        <w:snapToGrid w:val="0"/>
        <w:spacing w:line="360" w:lineRule="auto"/>
        <w:ind w:firstLine="210"/>
        <w:rPr>
          <w:rFonts w:hint="eastAsia"/>
          <w:sz w:val="21"/>
          <w:szCs w:val="21"/>
        </w:rPr>
      </w:pPr>
    </w:p>
    <w:p w14:paraId="7E4761E4">
      <w:pPr>
        <w:adjustRightInd w:val="0"/>
        <w:snapToGrid w:val="0"/>
        <w:spacing w:line="360" w:lineRule="auto"/>
        <w:ind w:firstLine="420" w:firstLineChars="200"/>
        <w:rPr>
          <w:rFonts w:hint="eastAsia"/>
          <w:sz w:val="21"/>
          <w:szCs w:val="21"/>
        </w:rPr>
      </w:pPr>
      <w:r>
        <w:rPr>
          <w:rFonts w:hint="eastAsia" w:ascii="黑体" w:hAnsi="黑体" w:eastAsia="黑体"/>
          <w:sz w:val="21"/>
          <w:szCs w:val="21"/>
        </w:rPr>
        <w:t>试验验证目的：</w:t>
      </w:r>
      <w:r>
        <w:rPr>
          <w:rFonts w:hint="eastAsia"/>
          <w:sz w:val="21"/>
          <w:szCs w:val="21"/>
        </w:rPr>
        <w:t>《机械行业职业教育  专科专业教学质量评价规范》团体标准中所列各项评价指标要求及试验方法的可行性</w:t>
      </w:r>
    </w:p>
    <w:p w14:paraId="138352D4">
      <w:pPr>
        <w:adjustRightInd w:val="0"/>
        <w:snapToGrid w:val="0"/>
        <w:spacing w:line="360" w:lineRule="auto"/>
        <w:ind w:firstLine="420" w:firstLineChars="200"/>
        <w:rPr>
          <w:rFonts w:hint="eastAsia"/>
          <w:sz w:val="21"/>
          <w:szCs w:val="21"/>
        </w:rPr>
      </w:pPr>
      <w:r>
        <w:rPr>
          <w:rFonts w:hint="eastAsia" w:ascii="黑体" w:hAnsi="黑体" w:eastAsia="黑体"/>
          <w:sz w:val="21"/>
          <w:szCs w:val="21"/>
        </w:rPr>
        <w:t>试验验证依据：</w:t>
      </w:r>
      <w:r>
        <w:rPr>
          <w:rFonts w:hint="eastAsia"/>
          <w:sz w:val="21"/>
          <w:szCs w:val="21"/>
        </w:rPr>
        <w:t>T/CMIF XXX-XXXX《机械行业职业教育  专科专业教学日质量评价规范》</w:t>
      </w:r>
    </w:p>
    <w:p w14:paraId="300D512E">
      <w:pPr>
        <w:adjustRightInd w:val="0"/>
        <w:snapToGrid w:val="0"/>
        <w:spacing w:line="360" w:lineRule="auto"/>
        <w:ind w:firstLine="420" w:firstLineChars="200"/>
        <w:rPr>
          <w:rFonts w:hint="eastAsia"/>
          <w:sz w:val="21"/>
          <w:szCs w:val="21"/>
        </w:rPr>
      </w:pPr>
      <w:r>
        <w:rPr>
          <w:rFonts w:hint="eastAsia" w:ascii="黑体" w:hAnsi="黑体" w:eastAsia="黑体"/>
          <w:sz w:val="21"/>
          <w:szCs w:val="21"/>
        </w:rPr>
        <w:t>试验验证时间：</w:t>
      </w:r>
      <w:r>
        <w:rPr>
          <w:rFonts w:hint="eastAsia"/>
          <w:sz w:val="21"/>
          <w:szCs w:val="21"/>
        </w:rPr>
        <w:t>2025年</w:t>
      </w:r>
      <w:r>
        <w:rPr>
          <w:sz w:val="21"/>
          <w:szCs w:val="21"/>
        </w:rPr>
        <w:t>10</w:t>
      </w:r>
      <w:r>
        <w:rPr>
          <w:rFonts w:hint="eastAsia"/>
          <w:sz w:val="21"/>
          <w:szCs w:val="21"/>
        </w:rPr>
        <w:t>月22日—24日</w:t>
      </w:r>
    </w:p>
    <w:p w14:paraId="09F0141A">
      <w:pPr>
        <w:adjustRightInd w:val="0"/>
        <w:snapToGrid w:val="0"/>
        <w:spacing w:line="360" w:lineRule="auto"/>
        <w:ind w:firstLine="420" w:firstLineChars="200"/>
        <w:rPr>
          <w:rFonts w:hint="eastAsia"/>
          <w:sz w:val="21"/>
          <w:szCs w:val="21"/>
        </w:rPr>
      </w:pPr>
      <w:r>
        <w:rPr>
          <w:rFonts w:hint="eastAsia" w:ascii="黑体" w:hAnsi="黑体" w:eastAsia="黑体"/>
          <w:sz w:val="21"/>
          <w:szCs w:val="21"/>
        </w:rPr>
        <w:t>试验验证地点：</w:t>
      </w:r>
      <w:r>
        <w:rPr>
          <w:rFonts w:hint="eastAsia"/>
          <w:sz w:val="21"/>
          <w:szCs w:val="21"/>
        </w:rPr>
        <w:t>无锡职业技术大学机械工程学院</w:t>
      </w:r>
    </w:p>
    <w:p w14:paraId="5A3FDA5F">
      <w:pPr>
        <w:adjustRightInd w:val="0"/>
        <w:snapToGrid w:val="0"/>
        <w:spacing w:line="360" w:lineRule="auto"/>
        <w:ind w:firstLine="420" w:firstLineChars="200"/>
        <w:rPr>
          <w:rFonts w:hint="eastAsia"/>
          <w:sz w:val="21"/>
          <w:szCs w:val="21"/>
        </w:rPr>
      </w:pPr>
      <w:r>
        <w:rPr>
          <w:rFonts w:hint="eastAsia" w:ascii="黑体" w:hAnsi="黑体" w:eastAsia="黑体"/>
          <w:sz w:val="21"/>
          <w:szCs w:val="21"/>
        </w:rPr>
        <w:t>试验验证机构：</w:t>
      </w:r>
      <w:r>
        <w:rPr>
          <w:rFonts w:hint="eastAsia"/>
          <w:sz w:val="21"/>
          <w:szCs w:val="21"/>
        </w:rPr>
        <w:t>机械行业职业教育标准研究所</w:t>
      </w:r>
    </w:p>
    <w:p w14:paraId="5EA95FCD">
      <w:pPr>
        <w:adjustRightInd w:val="0"/>
        <w:snapToGrid w:val="0"/>
        <w:spacing w:line="360" w:lineRule="auto"/>
        <w:ind w:firstLine="420" w:firstLineChars="200"/>
        <w:rPr>
          <w:rFonts w:hint="eastAsia"/>
          <w:sz w:val="21"/>
          <w:szCs w:val="21"/>
        </w:rPr>
      </w:pPr>
      <w:r>
        <w:rPr>
          <w:rFonts w:hint="eastAsia" w:ascii="黑体" w:hAnsi="黑体" w:eastAsia="黑体"/>
          <w:sz w:val="21"/>
          <w:szCs w:val="21"/>
        </w:rPr>
        <w:t>试验验证人员</w:t>
      </w:r>
      <w:r>
        <w:rPr>
          <w:rFonts w:hint="eastAsia"/>
          <w:sz w:val="21"/>
          <w:szCs w:val="21"/>
        </w:rPr>
        <w:t>：吕冬明、李渊志、陈慧、曹润平、韩学军等</w:t>
      </w:r>
    </w:p>
    <w:p w14:paraId="22CD2DE4">
      <w:pPr>
        <w:adjustRightInd w:val="0"/>
        <w:snapToGrid w:val="0"/>
        <w:spacing w:line="360" w:lineRule="auto"/>
        <w:ind w:firstLine="420" w:firstLineChars="200"/>
        <w:rPr>
          <w:rFonts w:hint="eastAsia"/>
          <w:sz w:val="21"/>
          <w:szCs w:val="21"/>
        </w:rPr>
      </w:pPr>
      <w:r>
        <w:rPr>
          <w:rFonts w:hint="eastAsia" w:ascii="黑体" w:hAnsi="黑体" w:eastAsia="黑体"/>
          <w:sz w:val="21"/>
          <w:szCs w:val="21"/>
        </w:rPr>
        <w:t>试验验证对象：</w:t>
      </w:r>
      <w:r>
        <w:rPr>
          <w:rFonts w:hint="eastAsia"/>
          <w:sz w:val="21"/>
          <w:szCs w:val="21"/>
        </w:rPr>
        <w:t>模具设计与制造专业（专科），专业代码：460113</w:t>
      </w:r>
    </w:p>
    <w:p w14:paraId="34664551">
      <w:pPr>
        <w:adjustRightInd w:val="0"/>
        <w:snapToGrid w:val="0"/>
        <w:spacing w:line="360" w:lineRule="auto"/>
        <w:ind w:firstLine="420" w:firstLineChars="200"/>
        <w:rPr>
          <w:rFonts w:hint="eastAsia"/>
          <w:sz w:val="21"/>
          <w:szCs w:val="21"/>
        </w:rPr>
      </w:pPr>
      <w:r>
        <w:rPr>
          <w:rFonts w:hint="eastAsia" w:ascii="黑体" w:hAnsi="黑体" w:eastAsia="黑体"/>
          <w:sz w:val="21"/>
          <w:szCs w:val="21"/>
        </w:rPr>
        <w:t>试验验证数据：</w:t>
      </w:r>
      <w:r>
        <w:rPr>
          <w:rFonts w:hint="eastAsia"/>
          <w:sz w:val="21"/>
          <w:szCs w:val="21"/>
        </w:rPr>
        <w:t>见附表1</w:t>
      </w:r>
    </w:p>
    <w:p w14:paraId="527E04D3">
      <w:pPr>
        <w:adjustRightInd w:val="0"/>
        <w:snapToGrid w:val="0"/>
        <w:spacing w:line="360" w:lineRule="auto"/>
        <w:ind w:firstLine="0" w:firstLineChars="0"/>
        <w:jc w:val="center"/>
        <w:rPr>
          <w:rFonts w:hint="eastAsia"/>
          <w:sz w:val="21"/>
          <w:szCs w:val="21"/>
        </w:rPr>
      </w:pPr>
      <w:r>
        <w:rPr>
          <w:rFonts w:hint="eastAsia" w:ascii="黑体" w:hAnsi="黑体" w:eastAsia="黑体" w:cs="黑体"/>
          <w:sz w:val="24"/>
          <w:szCs w:val="24"/>
        </w:rPr>
        <w:t>附表1  模具设计与制造专业（专业代码：460113）教学质量评价规范试验验证报表</w:t>
      </w:r>
    </w:p>
    <w:tbl>
      <w:tblPr>
        <w:tblStyle w:val="18"/>
        <w:tblW w:w="9994"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1073"/>
        <w:gridCol w:w="1261"/>
        <w:gridCol w:w="2976"/>
        <w:gridCol w:w="4684"/>
      </w:tblGrid>
      <w:tr w14:paraId="226C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 w:hRule="atLeast"/>
          <w:tblHeader/>
          <w:jc w:val="right"/>
        </w:trPr>
        <w:tc>
          <w:tcPr>
            <w:tcW w:w="1073" w:type="dxa"/>
            <w:tcMar>
              <w:top w:w="57" w:type="dxa"/>
              <w:left w:w="108" w:type="dxa"/>
              <w:bottom w:w="57" w:type="dxa"/>
              <w:right w:w="108" w:type="dxa"/>
            </w:tcMar>
            <w:vAlign w:val="center"/>
          </w:tcPr>
          <w:p w14:paraId="478BE8AB">
            <w:pPr>
              <w:adjustRightInd w:val="0"/>
              <w:snapToGrid w:val="0"/>
              <w:ind w:firstLine="0" w:firstLineChars="0"/>
              <w:jc w:val="center"/>
              <w:rPr>
                <w:rFonts w:hint="eastAsia" w:ascii="宋体" w:hAnsi="宋体" w:eastAsia="宋体" w:cs="宋体"/>
                <w:b/>
                <w:bCs/>
                <w:color w:val="000000"/>
                <w:kern w:val="0"/>
              </w:rPr>
            </w:pPr>
            <w:r>
              <w:rPr>
                <w:rFonts w:hint="eastAsia" w:ascii="宋体" w:hAnsi="宋体" w:eastAsia="宋体" w:cs="宋体"/>
                <w:b/>
                <w:bCs/>
                <w:color w:val="000000"/>
                <w:kern w:val="0"/>
              </w:rPr>
              <w:t>一级指标</w:t>
            </w:r>
          </w:p>
        </w:tc>
        <w:tc>
          <w:tcPr>
            <w:tcW w:w="1261" w:type="dxa"/>
            <w:tcMar>
              <w:top w:w="57" w:type="dxa"/>
              <w:left w:w="108" w:type="dxa"/>
              <w:bottom w:w="57" w:type="dxa"/>
              <w:right w:w="108" w:type="dxa"/>
            </w:tcMar>
            <w:vAlign w:val="center"/>
          </w:tcPr>
          <w:p w14:paraId="5D69D60A">
            <w:pPr>
              <w:adjustRightInd w:val="0"/>
              <w:snapToGrid w:val="0"/>
              <w:ind w:firstLine="0" w:firstLineChars="0"/>
              <w:jc w:val="center"/>
              <w:rPr>
                <w:rFonts w:hint="eastAsia" w:ascii="宋体" w:hAnsi="宋体" w:eastAsia="宋体" w:cs="宋体"/>
                <w:b/>
                <w:bCs/>
                <w:color w:val="000000"/>
                <w:kern w:val="0"/>
              </w:rPr>
            </w:pPr>
            <w:r>
              <w:rPr>
                <w:rFonts w:hint="eastAsia" w:ascii="宋体" w:hAnsi="宋体" w:eastAsia="宋体" w:cs="宋体"/>
                <w:b/>
                <w:bCs/>
                <w:color w:val="000000"/>
                <w:kern w:val="0"/>
              </w:rPr>
              <w:t>二级指标</w:t>
            </w:r>
          </w:p>
        </w:tc>
        <w:tc>
          <w:tcPr>
            <w:tcW w:w="2976" w:type="dxa"/>
            <w:tcMar>
              <w:top w:w="57" w:type="dxa"/>
              <w:left w:w="108" w:type="dxa"/>
              <w:bottom w:w="57" w:type="dxa"/>
              <w:right w:w="108" w:type="dxa"/>
            </w:tcMar>
            <w:vAlign w:val="center"/>
          </w:tcPr>
          <w:p w14:paraId="40452961">
            <w:pPr>
              <w:adjustRightInd w:val="0"/>
              <w:snapToGrid w:val="0"/>
              <w:ind w:firstLine="181"/>
              <w:jc w:val="center"/>
              <w:rPr>
                <w:rFonts w:hint="eastAsia" w:ascii="宋体" w:hAnsi="宋体" w:eastAsia="宋体" w:cs="宋体"/>
                <w:b/>
                <w:bCs/>
                <w:color w:val="000000"/>
                <w:kern w:val="0"/>
              </w:rPr>
            </w:pPr>
            <w:r>
              <w:rPr>
                <w:rFonts w:hint="eastAsia" w:ascii="宋体" w:hAnsi="宋体" w:eastAsia="宋体" w:cs="宋体"/>
                <w:b/>
                <w:bCs/>
                <w:color w:val="000000"/>
                <w:kern w:val="0"/>
              </w:rPr>
              <w:t>判断基准及具象</w:t>
            </w:r>
          </w:p>
        </w:tc>
        <w:tc>
          <w:tcPr>
            <w:tcW w:w="4684" w:type="dxa"/>
            <w:tcMar>
              <w:top w:w="57" w:type="dxa"/>
              <w:left w:w="108" w:type="dxa"/>
              <w:bottom w:w="57" w:type="dxa"/>
              <w:right w:w="108" w:type="dxa"/>
            </w:tcMar>
            <w:vAlign w:val="center"/>
          </w:tcPr>
          <w:p w14:paraId="38514FB9">
            <w:pPr>
              <w:adjustRightInd w:val="0"/>
              <w:snapToGrid w:val="0"/>
              <w:ind w:firstLine="181"/>
              <w:jc w:val="center"/>
              <w:rPr>
                <w:rFonts w:hint="eastAsia" w:ascii="宋体" w:hAnsi="宋体" w:eastAsia="宋体" w:cs="宋体"/>
                <w:b/>
                <w:bCs/>
                <w:color w:val="000000"/>
                <w:kern w:val="0"/>
              </w:rPr>
            </w:pPr>
            <w:r>
              <w:rPr>
                <w:rFonts w:hint="eastAsia" w:ascii="宋体" w:hAnsi="宋体" w:eastAsia="宋体" w:cs="宋体"/>
                <w:b/>
                <w:bCs/>
                <w:color w:val="000000"/>
                <w:kern w:val="0"/>
              </w:rPr>
              <w:t>判断依据及具象</w:t>
            </w:r>
          </w:p>
        </w:tc>
      </w:tr>
      <w:tr w14:paraId="6680D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660" w:hRule="atLeast"/>
          <w:jc w:val="right"/>
        </w:trPr>
        <w:tc>
          <w:tcPr>
            <w:tcW w:w="1073" w:type="dxa"/>
            <w:tcMar>
              <w:top w:w="57" w:type="dxa"/>
              <w:left w:w="108" w:type="dxa"/>
              <w:bottom w:w="57" w:type="dxa"/>
              <w:right w:w="108" w:type="dxa"/>
            </w:tcMar>
            <w:vAlign w:val="center"/>
          </w:tcPr>
          <w:p w14:paraId="2AD7196D">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1学生发展</w:t>
            </w:r>
          </w:p>
        </w:tc>
        <w:tc>
          <w:tcPr>
            <w:tcW w:w="1261" w:type="dxa"/>
            <w:tcMar>
              <w:top w:w="57" w:type="dxa"/>
              <w:left w:w="108" w:type="dxa"/>
              <w:bottom w:w="57" w:type="dxa"/>
              <w:right w:w="108" w:type="dxa"/>
            </w:tcMar>
            <w:vAlign w:val="center"/>
          </w:tcPr>
          <w:p w14:paraId="18F738AD">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1.1生源质量</w:t>
            </w:r>
          </w:p>
        </w:tc>
        <w:tc>
          <w:tcPr>
            <w:tcW w:w="2976" w:type="dxa"/>
            <w:tcMar>
              <w:top w:w="57" w:type="dxa"/>
              <w:left w:w="108" w:type="dxa"/>
              <w:bottom w:w="57" w:type="dxa"/>
              <w:right w:w="108" w:type="dxa"/>
            </w:tcMar>
            <w:vAlign w:val="center"/>
          </w:tcPr>
          <w:p w14:paraId="5F4602A9">
            <w:pPr>
              <w:adjustRightInd w:val="0"/>
              <w:snapToGrid w:val="0"/>
              <w:jc w:val="left"/>
              <w:rPr>
                <w:rFonts w:hint="eastAsia" w:ascii="宋体" w:hAnsi="宋体" w:eastAsia="宋体" w:cs="宋体"/>
                <w:b/>
                <w:bCs/>
                <w:color w:val="000000"/>
                <w:kern w:val="0"/>
              </w:rPr>
            </w:pPr>
            <w:r>
              <w:rPr>
                <w:rFonts w:hint="eastAsia" w:ascii="楷体" w:hAnsi="楷体" w:eastAsia="楷体" w:cs="宋体"/>
                <w:color w:val="000000"/>
                <w:kern w:val="0"/>
              </w:rPr>
              <w:t>判断基准：</w:t>
            </w:r>
            <w:r>
              <w:rPr>
                <w:rFonts w:hint="eastAsia" w:ascii="宋体" w:hAnsi="宋体" w:eastAsia="宋体" w:cs="宋体"/>
                <w:color w:val="000000"/>
                <w:kern w:val="0"/>
              </w:rPr>
              <w:t>有吸引生源和提高生源质量的制度与措施；近三年连续新生报到率≥85%</w:t>
            </w:r>
          </w:p>
          <w:p w14:paraId="1BE107FB">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学校层面有关注提升生源质量的招生、在校生转专业、生源基地建设、招生经费管理等制度和举措</w:t>
            </w:r>
          </w:p>
          <w:p w14:paraId="22FBE1F5">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2023年、2024年、2025年新生报到率都达到≥85%</w:t>
            </w:r>
          </w:p>
        </w:tc>
        <w:tc>
          <w:tcPr>
            <w:tcW w:w="4684" w:type="dxa"/>
            <w:tcMar>
              <w:top w:w="57" w:type="dxa"/>
              <w:left w:w="108" w:type="dxa"/>
              <w:bottom w:w="57" w:type="dxa"/>
              <w:right w:w="108" w:type="dxa"/>
            </w:tcMar>
            <w:vAlign w:val="center"/>
          </w:tcPr>
          <w:p w14:paraId="34182934">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判断依据：</w:t>
            </w:r>
            <w:r>
              <w:rPr>
                <w:rFonts w:hint="eastAsia" w:ascii="宋体" w:hAnsi="宋体" w:eastAsia="宋体" w:cs="宋体"/>
                <w:color w:val="000000"/>
                <w:kern w:val="0"/>
              </w:rPr>
              <w:t>吸引生源和提高生源质量的制度与措施，关联的制度完善轨迹和专业执行情况记录；近三年专业招生计划、招生计划完成率、新生来源、新生报到率等汇总和分析材料，学生与校友对专业认可度调研分析材料</w:t>
            </w:r>
          </w:p>
          <w:p w14:paraId="1DF18862">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学校层面有吸引生源和提高生源质量相关条款的招生、在校生转专业、生源基地建设、招生经费管理等制度</w:t>
            </w:r>
          </w:p>
          <w:p w14:paraId="5609DEEF">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2023年、2024年、2025年招生团队组建、表彰、生源基地学生进校研学名单、模具专业在校生转入名单等操作材料</w:t>
            </w:r>
          </w:p>
          <w:p w14:paraId="53BA4DAA">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2022-2023年、2023-2024年、2024-2025年专业招生计划、招生计划完成率、新生报到率、新生来源统计（报到率≥85%）</w:t>
            </w:r>
          </w:p>
          <w:p w14:paraId="2D42609B">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具象4：</w:t>
            </w:r>
            <w:r>
              <w:rPr>
                <w:rFonts w:hint="eastAsia" w:ascii="宋体" w:hAnsi="宋体" w:eastAsia="宋体" w:cs="宋体"/>
                <w:color w:val="000000"/>
                <w:kern w:val="0"/>
              </w:rPr>
              <w:t>2023年、2024年、2025年在校生专业认识调查报告（在校生对专业认可度）、用人单位调查报告（毕业生对专业认可度）</w:t>
            </w:r>
          </w:p>
        </w:tc>
      </w:tr>
      <w:tr w14:paraId="20295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5" w:hRule="atLeast"/>
          <w:jc w:val="right"/>
        </w:trPr>
        <w:tc>
          <w:tcPr>
            <w:tcW w:w="2334" w:type="dxa"/>
            <w:gridSpan w:val="2"/>
            <w:tcMar>
              <w:top w:w="57" w:type="dxa"/>
              <w:left w:w="108" w:type="dxa"/>
              <w:bottom w:w="57" w:type="dxa"/>
              <w:right w:w="108" w:type="dxa"/>
            </w:tcMar>
            <w:vAlign w:val="center"/>
          </w:tcPr>
          <w:p w14:paraId="780716CF">
            <w:pPr>
              <w:adjustRightInd w:val="0"/>
              <w:snapToGrid w:val="0"/>
              <w:ind w:firstLine="0" w:firstLineChars="0"/>
              <w:jc w:val="right"/>
              <w:rPr>
                <w:rFonts w:hint="eastAsia" w:ascii="楷体" w:hAnsi="楷体" w:eastAsia="楷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302E8BA">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61A70634">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5FA5E28A">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采信情况：材料均是原件可信</w:t>
            </w:r>
          </w:p>
          <w:p w14:paraId="79F0A65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4CB8D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6D138C09">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21F0193A">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1.2成长指导</w:t>
            </w:r>
          </w:p>
        </w:tc>
        <w:tc>
          <w:tcPr>
            <w:tcW w:w="2976" w:type="dxa"/>
            <w:tcMar>
              <w:top w:w="57" w:type="dxa"/>
              <w:left w:w="108" w:type="dxa"/>
              <w:bottom w:w="57" w:type="dxa"/>
              <w:right w:w="108" w:type="dxa"/>
            </w:tcMar>
            <w:vAlign w:val="center"/>
          </w:tcPr>
          <w:p w14:paraId="1304858A">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判断基准：</w:t>
            </w:r>
            <w:r>
              <w:rPr>
                <w:rFonts w:hint="eastAsia" w:ascii="宋体" w:hAnsi="宋体" w:eastAsia="宋体" w:cs="宋体"/>
                <w:color w:val="000000"/>
                <w:kern w:val="0"/>
              </w:rPr>
              <w:t>有完善的学生成长指导机制，包括但不限于思政教育、学习指导、职业规划指导、就业指导、生活指导、身心健康指导等机制与措施；毕业生就业率≥90%</w:t>
            </w:r>
          </w:p>
          <w:p w14:paraId="2F83ACD7">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学校层面有思政教育、学习指导、职业规划指导、就业指导、生活指导、身心健康指导等系列机制</w:t>
            </w:r>
          </w:p>
          <w:p w14:paraId="698A864D">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2023年、2024年、2025年模具专业就业率都≥90%</w:t>
            </w:r>
          </w:p>
        </w:tc>
        <w:tc>
          <w:tcPr>
            <w:tcW w:w="4684" w:type="dxa"/>
            <w:tcMar>
              <w:top w:w="57" w:type="dxa"/>
              <w:left w:w="108" w:type="dxa"/>
              <w:bottom w:w="57" w:type="dxa"/>
              <w:right w:w="108" w:type="dxa"/>
            </w:tcMar>
            <w:vAlign w:val="center"/>
          </w:tcPr>
          <w:p w14:paraId="024F1BC8">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判断依据：</w:t>
            </w:r>
            <w:r>
              <w:rPr>
                <w:rFonts w:hint="eastAsia" w:ascii="宋体" w:hAnsi="宋体" w:eastAsia="宋体" w:cs="宋体"/>
                <w:color w:val="000000"/>
                <w:kern w:val="0"/>
              </w:rPr>
              <w:t>学生成长指导机制与措施汇总文本，专业执行情况记录、结果汇总与分析材料；近三年毕业生就业率汇总和分析材料</w:t>
            </w:r>
          </w:p>
          <w:p w14:paraId="2FE97909">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学校的学生成长指导机制与措施汇总文本涉及班主任、辅导员、学业导师、一站式学生社区的制度，专题指导制度涉及安全、就业、心理健康等材料</w:t>
            </w:r>
          </w:p>
          <w:p w14:paraId="2AD51CA6">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2023年、2024年、2025年毕业生离校就业统计表</w:t>
            </w:r>
          </w:p>
        </w:tc>
      </w:tr>
      <w:tr w14:paraId="6C513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6A0EE5E2">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5895F18E">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0B60C85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1AF2F08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采信情况：离校就业统计表非原件，表内数据出处不明，与现场查证找到原始数据后计算的就业率存在较小偏差，但≥90%</w:t>
            </w:r>
          </w:p>
          <w:p w14:paraId="7502179F">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7D8FD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01F3A683">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7B47A95B">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1.3发展成果</w:t>
            </w:r>
          </w:p>
        </w:tc>
        <w:tc>
          <w:tcPr>
            <w:tcW w:w="2976" w:type="dxa"/>
            <w:tcMar>
              <w:top w:w="57" w:type="dxa"/>
              <w:left w:w="108" w:type="dxa"/>
              <w:bottom w:w="57" w:type="dxa"/>
              <w:right w:w="108" w:type="dxa"/>
            </w:tcMar>
            <w:vAlign w:val="center"/>
          </w:tcPr>
          <w:p w14:paraId="073909FE">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判断基准：</w:t>
            </w:r>
            <w:r>
              <w:rPr>
                <w:rFonts w:hint="eastAsia" w:ascii="宋体" w:hAnsi="宋体" w:eastAsia="宋体" w:cs="宋体"/>
                <w:color w:val="000000"/>
                <w:kern w:val="0"/>
              </w:rPr>
              <w:t>有过程性与结果性评价融合的学业评价机制、完善的学习成果认定及学分互换机制，并动态追踪学习表现，建立学业预警与反馈机制；专业毕业率宜在85%~95%</w:t>
            </w:r>
          </w:p>
          <w:p w14:paraId="3240F81E">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学校层面有学业证书管理办法规定学业评价机制；学分银行管理办法规定学习成果认定及学分互换机制；课程有明确的3种学业预警触发条件，智慧教务设有动态追踪功能</w:t>
            </w:r>
          </w:p>
          <w:p w14:paraId="017B5C23">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2023年、2024年、2025年模具专业毕业率都符合毕业率85%</w:t>
            </w:r>
            <w:r>
              <w:rPr>
                <w:rFonts w:ascii="Times New Roman" w:hAnsi="Times New Roman" w:eastAsia="宋体"/>
                <w:color w:val="000000"/>
                <w:kern w:val="0"/>
              </w:rPr>
              <w:t>~</w:t>
            </w:r>
            <w:r>
              <w:rPr>
                <w:rFonts w:hint="eastAsia" w:ascii="宋体" w:hAnsi="宋体" w:eastAsia="宋体" w:cs="宋体"/>
                <w:color w:val="000000"/>
                <w:kern w:val="0"/>
              </w:rPr>
              <w:t>95%</w:t>
            </w:r>
          </w:p>
        </w:tc>
        <w:tc>
          <w:tcPr>
            <w:tcW w:w="4684" w:type="dxa"/>
            <w:tcMar>
              <w:top w:w="57" w:type="dxa"/>
              <w:left w:w="108" w:type="dxa"/>
              <w:bottom w:w="57" w:type="dxa"/>
              <w:right w:w="108" w:type="dxa"/>
            </w:tcMar>
            <w:vAlign w:val="center"/>
          </w:tcPr>
          <w:p w14:paraId="748A57E5">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判断依据：</w:t>
            </w:r>
            <w:r>
              <w:rPr>
                <w:rFonts w:hint="eastAsia" w:ascii="宋体" w:hAnsi="宋体" w:eastAsia="宋体" w:cs="宋体"/>
                <w:color w:val="000000"/>
                <w:kern w:val="0"/>
              </w:rPr>
              <w:t>过程性与结果性评价融合的学业评价机制、学习成果认定及学分互换机制文本汇总材料，专业执行制度与完善制度情况记录；近三年及时向学生、教师、班主任、教学管理人员推送的学业预警记录，对学生（特别是学有困难学生）的学业跟踪评价、辅导和取得的成效记录；近三年专业毕业率汇总和分析材料</w:t>
            </w:r>
          </w:p>
          <w:p w14:paraId="7A5ADA55">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学校层面的学业证书管理办法规定了学业过程管理机制，学分银行管理办法规定了学习成果认定与学分互换机制</w:t>
            </w:r>
          </w:p>
          <w:p w14:paraId="0A76FB13">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2023年、2024年、2025年模具专业学生学分互换清单（公示版）</w:t>
            </w:r>
          </w:p>
          <w:p w14:paraId="118AB5B0">
            <w:pPr>
              <w:adjustRightInd w:val="0"/>
              <w:snapToGrid w:val="0"/>
              <w:rPr>
                <w:rFonts w:hint="eastAsia" w:cs="宋体"/>
                <w:color w:val="000000"/>
                <w:kern w:val="0"/>
              </w:rPr>
            </w:pPr>
            <w:r>
              <w:rPr>
                <w:rFonts w:hint="eastAsia" w:ascii="楷体" w:hAnsi="楷体" w:eastAsia="楷体" w:cs="宋体"/>
                <w:color w:val="000000"/>
                <w:kern w:val="0"/>
              </w:rPr>
              <w:t>具象3：</w:t>
            </w:r>
            <w:r>
              <w:rPr>
                <w:rFonts w:hint="eastAsia" w:cs="宋体"/>
                <w:color w:val="000000"/>
                <w:kern w:val="0"/>
              </w:rPr>
              <w:t>2023年、2024年、2025年模具专业智慧教务平台上学业预警通知及帮扶记录汇总表</w:t>
            </w:r>
          </w:p>
          <w:p w14:paraId="1168D3BE">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具象4：</w:t>
            </w:r>
            <w:r>
              <w:rPr>
                <w:rFonts w:hint="eastAsia" w:ascii="宋体" w:hAnsi="宋体" w:eastAsia="宋体" w:cs="宋体"/>
                <w:color w:val="000000"/>
                <w:kern w:val="0"/>
              </w:rPr>
              <w:t>2023年、2024年、2025年模具专业学生毕业率报表</w:t>
            </w:r>
          </w:p>
        </w:tc>
      </w:tr>
      <w:tr w14:paraId="2E46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1291DD16">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00DB5FDA">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7AF8CCEA">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35DA18F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采信情况：毕业率统计表非原件，表内数据出处不明，与现场查证找到原始数据后计算的就业率存在较小偏差，但符合85%</w:t>
            </w:r>
            <w:r>
              <w:rPr>
                <w:rFonts w:ascii="Times New Roman" w:hAnsi="Times New Roman" w:eastAsia="楷体"/>
                <w:color w:val="000000"/>
                <w:kern w:val="0"/>
              </w:rPr>
              <w:t>~</w:t>
            </w:r>
            <w:r>
              <w:rPr>
                <w:rFonts w:hint="eastAsia" w:ascii="楷体" w:hAnsi="楷体" w:eastAsia="楷体" w:cs="宋体"/>
                <w:color w:val="000000"/>
                <w:kern w:val="0"/>
              </w:rPr>
              <w:t>95%</w:t>
            </w:r>
          </w:p>
          <w:p w14:paraId="0AFD30D3">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59D6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6C69D3F5">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2培养目标</w:t>
            </w:r>
          </w:p>
        </w:tc>
        <w:tc>
          <w:tcPr>
            <w:tcW w:w="1261" w:type="dxa"/>
            <w:tcMar>
              <w:top w:w="57" w:type="dxa"/>
              <w:left w:w="108" w:type="dxa"/>
              <w:bottom w:w="57" w:type="dxa"/>
              <w:right w:w="108" w:type="dxa"/>
            </w:tcMar>
            <w:vAlign w:val="center"/>
          </w:tcPr>
          <w:p w14:paraId="32F55B96">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2.1目标定位</w:t>
            </w:r>
          </w:p>
        </w:tc>
        <w:tc>
          <w:tcPr>
            <w:tcW w:w="2976" w:type="dxa"/>
            <w:tcMar>
              <w:top w:w="57" w:type="dxa"/>
              <w:left w:w="108" w:type="dxa"/>
              <w:bottom w:w="57" w:type="dxa"/>
              <w:right w:w="108" w:type="dxa"/>
            </w:tcMar>
            <w:vAlign w:val="center"/>
          </w:tcPr>
          <w:p w14:paraId="09C74D75">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判断基准：</w:t>
            </w:r>
            <w:r>
              <w:rPr>
                <w:rFonts w:hint="eastAsia" w:ascii="宋体" w:hAnsi="宋体" w:eastAsia="宋体" w:cs="宋体"/>
                <w:color w:val="000000"/>
                <w:kern w:val="0"/>
              </w:rPr>
              <w:t>培养目标体现党的教育方针和立德树人根本任务，符合学校发展定位、适应区域经济社会发展对高素质技能型人才的需要和职业岗位要求；有专业人才培养方案的公开机制</w:t>
            </w:r>
          </w:p>
          <w:p w14:paraId="3DF32B50">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培养能够从事模具设计、模具制造、模具装配与调试、模具使用与维护工作的高素质技术技能人才</w:t>
            </w:r>
          </w:p>
          <w:p w14:paraId="34D1838A">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2023年、2024年、2025年人才培养方案在学校官网发布</w:t>
            </w:r>
          </w:p>
        </w:tc>
        <w:tc>
          <w:tcPr>
            <w:tcW w:w="4684" w:type="dxa"/>
            <w:tcMar>
              <w:top w:w="57" w:type="dxa"/>
              <w:left w:w="108" w:type="dxa"/>
              <w:bottom w:w="57" w:type="dxa"/>
              <w:right w:w="108" w:type="dxa"/>
            </w:tcMar>
            <w:vAlign w:val="center"/>
          </w:tcPr>
          <w:p w14:paraId="64B0190D">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判断依据：</w:t>
            </w:r>
            <w:r>
              <w:rPr>
                <w:rFonts w:hint="eastAsia" w:ascii="宋体" w:hAnsi="宋体" w:eastAsia="宋体" w:cs="宋体"/>
                <w:color w:val="000000"/>
                <w:kern w:val="0"/>
              </w:rPr>
              <w:t>国家、行业和企业、校友以及学校内部对专业培养目标的预期调研原始材料，专业调研分析报告；调研反馈信息在培养目标中的体现汇总材料，专业培养目标审核的过程材料；近三年专业人才培养方案的公开渠道和公开结果，向学生和教师宣贯的过程材料</w:t>
            </w:r>
          </w:p>
          <w:p w14:paraId="52BDF258">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2023年、2024年、2025年企业的调研记录及报告，校友调研记录及报告</w:t>
            </w:r>
          </w:p>
          <w:p w14:paraId="5C070604">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2023年、2024年、2025年人才培养方案编制说明（涉及培养目标修改依据说明）</w:t>
            </w:r>
          </w:p>
          <w:p w14:paraId="147E9E73">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2023年、2024年、2025年全国职业院校专业设置管理与公共信息服务平台网络、校教务系统公开</w:t>
            </w:r>
          </w:p>
          <w:p w14:paraId="589150D5">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具象4：</w:t>
            </w:r>
            <w:r>
              <w:rPr>
                <w:rFonts w:hint="eastAsia" w:ascii="宋体" w:hAnsi="宋体" w:eastAsia="宋体" w:cs="宋体"/>
                <w:color w:val="000000"/>
                <w:kern w:val="0"/>
              </w:rPr>
              <w:t>2023年、2024年、2025年向学生和教师宣贯材料</w:t>
            </w:r>
          </w:p>
        </w:tc>
      </w:tr>
      <w:tr w14:paraId="340E6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2226125D">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299B31E8">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41D66CFE">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5A2032B3">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采信情况：具象1，区域经济社会发展对本专业岗位要求不明确；具象2，该学校发展定位不具体，专业与学校发展定位是否适应不明；具象3，学生家长和社会人士无法查阅</w:t>
            </w:r>
          </w:p>
          <w:p w14:paraId="2045E27C">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hint="eastAsia" w:ascii="楷体" w:hAnsi="楷体" w:eastAsia="楷体" w:cs="宋体"/>
                <w:color w:val="000000" w:themeColor="text1"/>
                <w:kern w:val="0"/>
                <w14:textFill>
                  <w14:solidFill>
                    <w14:schemeClr w14:val="tx1"/>
                  </w14:solidFill>
                </w14:textFill>
              </w:rPr>
              <w:t>B</w:t>
            </w:r>
          </w:p>
        </w:tc>
      </w:tr>
      <w:tr w14:paraId="6C2A2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2690443C">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07966D5E">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2.2目标修订</w:t>
            </w:r>
          </w:p>
        </w:tc>
        <w:tc>
          <w:tcPr>
            <w:tcW w:w="2976" w:type="dxa"/>
            <w:tcMar>
              <w:top w:w="57" w:type="dxa"/>
              <w:left w:w="108" w:type="dxa"/>
              <w:bottom w:w="57" w:type="dxa"/>
              <w:right w:w="108" w:type="dxa"/>
            </w:tcMar>
            <w:vAlign w:val="center"/>
          </w:tcPr>
          <w:p w14:paraId="30EE7223">
            <w:pPr>
              <w:adjustRightInd w:val="0"/>
              <w:snapToGrid w:val="0"/>
              <w:jc w:val="left"/>
              <w:rPr>
                <w:rFonts w:hint="eastAsia" w:ascii="宋体" w:hAnsi="宋体" w:eastAsia="宋体" w:cs="宋体"/>
                <w:color w:val="000000" w:themeColor="text1"/>
                <w:kern w:val="0"/>
                <w14:textFill>
                  <w14:solidFill>
                    <w14:schemeClr w14:val="tx1"/>
                  </w14:solidFill>
                </w14:textFill>
              </w:rPr>
            </w:pPr>
            <w:r>
              <w:rPr>
                <w:rFonts w:hint="eastAsia" w:ascii="楷体" w:hAnsi="楷体" w:eastAsia="楷体" w:cs="宋体"/>
                <w:color w:val="000000"/>
                <w:kern w:val="0"/>
              </w:rPr>
              <w:t>判断基准：</w:t>
            </w:r>
            <w:r>
              <w:rPr>
                <w:rFonts w:hint="eastAsia" w:ascii="宋体" w:hAnsi="宋体" w:eastAsia="宋体" w:cs="宋体"/>
                <w:color w:val="000000"/>
                <w:kern w:val="0"/>
              </w:rPr>
              <w:t>有专业人才培养方案修订机制，并定期评价培养目标的合理性，根据评价结果对培养目标进行修订、论证和审定；评价与修订过程有行业、企业专家和校友参与，并通过校级党组织审定</w:t>
            </w:r>
          </w:p>
          <w:p w14:paraId="469D6B07">
            <w:pPr>
              <w:adjustRightInd w:val="0"/>
              <w:snapToGrid w:val="0"/>
              <w:jc w:val="left"/>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具象1：</w:t>
            </w:r>
            <w:r>
              <w:rPr>
                <w:rFonts w:hint="eastAsia" w:ascii="宋体" w:hAnsi="宋体" w:eastAsia="宋体" w:cs="宋体"/>
                <w:color w:val="000000" w:themeColor="text1"/>
                <w:kern w:val="0"/>
                <w14:textFill>
                  <w14:solidFill>
                    <w14:schemeClr w14:val="tx1"/>
                  </w14:solidFill>
                </w14:textFill>
              </w:rPr>
              <w:t>学校层面发布各年度关于修（制）定专业人才培养方案的原则意见，本专业层面依据原则意见开展年度例行的修订、论证和审定</w:t>
            </w:r>
          </w:p>
          <w:p w14:paraId="201FBBDE">
            <w:pPr>
              <w:adjustRightInd w:val="0"/>
              <w:snapToGrid w:val="0"/>
              <w:jc w:val="left"/>
              <w:rPr>
                <w:rFonts w:hint="eastAsia" w:ascii="楷体" w:hAnsi="楷体" w:eastAsia="楷体" w:cs="宋体"/>
                <w:color w:val="000000"/>
                <w:kern w:val="0"/>
              </w:rPr>
            </w:pPr>
            <w:r>
              <w:rPr>
                <w:rFonts w:hint="eastAsia" w:ascii="楷体" w:hAnsi="楷体" w:eastAsia="楷体" w:cs="宋体"/>
                <w:color w:val="000000" w:themeColor="text1"/>
                <w:kern w:val="0"/>
                <w14:textFill>
                  <w14:solidFill>
                    <w14:schemeClr w14:val="tx1"/>
                  </w14:solidFill>
                </w14:textFill>
              </w:rPr>
              <w:t>具象2：</w:t>
            </w:r>
            <w:r>
              <w:rPr>
                <w:rFonts w:hint="eastAsia" w:cs="宋体"/>
                <w:color w:val="000000" w:themeColor="text1"/>
                <w:kern w:val="0"/>
                <w14:textFill>
                  <w14:solidFill>
                    <w14:schemeClr w14:val="tx1"/>
                  </w14:solidFill>
                </w14:textFill>
              </w:rPr>
              <w:t>本专业召开年度例行的有行业、企业专家和校友参与人才培养方案审定会</w:t>
            </w:r>
            <w:r>
              <w:rPr>
                <w:rFonts w:hint="eastAsia" w:ascii="宋体" w:hAnsi="宋体" w:eastAsia="宋体" w:cs="宋体"/>
                <w:color w:val="000000" w:themeColor="text1"/>
                <w:kern w:val="0"/>
                <w14:textFill>
                  <w14:solidFill>
                    <w14:schemeClr w14:val="tx1"/>
                  </w14:solidFill>
                </w14:textFill>
              </w:rPr>
              <w:t>，校级党组织会议审定</w:t>
            </w:r>
          </w:p>
        </w:tc>
        <w:tc>
          <w:tcPr>
            <w:tcW w:w="4684" w:type="dxa"/>
            <w:tcMar>
              <w:top w:w="57" w:type="dxa"/>
              <w:left w:w="108" w:type="dxa"/>
              <w:bottom w:w="57" w:type="dxa"/>
              <w:right w:w="108" w:type="dxa"/>
            </w:tcMar>
            <w:vAlign w:val="center"/>
          </w:tcPr>
          <w:p w14:paraId="7C7702B2">
            <w:pPr>
              <w:adjustRightInd w:val="0"/>
              <w:snapToGrid w:val="0"/>
              <w:rPr>
                <w:rFonts w:hint="eastAsia"/>
              </w:rPr>
            </w:pPr>
            <w:r>
              <w:rPr>
                <w:rFonts w:hint="eastAsia" w:ascii="楷体" w:hAnsi="楷体" w:eastAsia="楷体" w:cs="宋体"/>
                <w:color w:val="000000"/>
                <w:kern w:val="0"/>
              </w:rPr>
              <w:t>判断依据：</w:t>
            </w:r>
            <w:r>
              <w:rPr>
                <w:rFonts w:hint="eastAsia"/>
              </w:rPr>
              <w:t>专业人才培养方案的修订机制文本和执行情况记录；定期开展的培养目标合理性评价活动的原始材料，评价结果应用于专业培养目标修订的汇总材料；行业企业、教研机构、校内外一线教师和学生代表等参加的论证会、校级党组织会议审定等过程性材料</w:t>
            </w:r>
          </w:p>
          <w:p w14:paraId="7CAF58B4">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具象1同2.1判断依据之具象2：</w:t>
            </w:r>
            <w:r>
              <w:rPr>
                <w:rFonts w:hint="eastAsia" w:ascii="宋体" w:hAnsi="宋体" w:eastAsia="宋体" w:cs="宋体"/>
                <w:color w:val="000000"/>
                <w:kern w:val="0"/>
              </w:rPr>
              <w:t>2023年、2024年、2025年本专业人才培养方案编制说明（涉及修订意见汇总表）</w:t>
            </w:r>
          </w:p>
          <w:p w14:paraId="6DEADCE9">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2023年、2024年、2025年本专业人才培养方案论证会纪要及附件（行业企业、教研机构、校内外一线教师和学生代表等参加）</w:t>
            </w:r>
          </w:p>
          <w:p w14:paraId="6629C9A8">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校级党组织会议审定本专业2023年、2024年、2025年人才培养方案的会议记录</w:t>
            </w:r>
          </w:p>
        </w:tc>
      </w:tr>
      <w:tr w14:paraId="1C4B0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28CD855E">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6F823C31">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符合。但</w:t>
            </w:r>
            <w:r>
              <w:rPr>
                <w:rFonts w:hint="eastAsia" w:ascii="楷体" w:hAnsi="楷体" w:eastAsia="楷体" w:cs="宋体"/>
                <w:color w:val="000000" w:themeColor="text1"/>
                <w:kern w:val="0"/>
                <w14:textFill>
                  <w14:solidFill>
                    <w14:schemeClr w14:val="tx1"/>
                  </w14:solidFill>
                </w14:textFill>
              </w:rPr>
              <w:t>判断基准中不包括判断依据中的校级党组织会议审定的要求，建议修改标准文本</w:t>
            </w:r>
          </w:p>
        </w:tc>
        <w:tc>
          <w:tcPr>
            <w:tcW w:w="4684" w:type="dxa"/>
            <w:tcMar>
              <w:top w:w="57" w:type="dxa"/>
              <w:left w:w="108" w:type="dxa"/>
              <w:bottom w:w="57" w:type="dxa"/>
              <w:right w:w="108" w:type="dxa"/>
            </w:tcMar>
            <w:vAlign w:val="center"/>
          </w:tcPr>
          <w:p w14:paraId="724C03D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693CE3AA">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采信情况：具象3现场查到了校党委审定全校专业人才培养方案的会议记录，故采信</w:t>
            </w:r>
          </w:p>
          <w:p w14:paraId="5FF6DB6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675E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04F03B84">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3毕业要求</w:t>
            </w:r>
          </w:p>
        </w:tc>
        <w:tc>
          <w:tcPr>
            <w:tcW w:w="1261" w:type="dxa"/>
            <w:tcMar>
              <w:top w:w="57" w:type="dxa"/>
              <w:left w:w="108" w:type="dxa"/>
              <w:bottom w:w="57" w:type="dxa"/>
              <w:right w:w="108" w:type="dxa"/>
            </w:tcMar>
            <w:vAlign w:val="center"/>
          </w:tcPr>
          <w:p w14:paraId="0F27E603">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cs="宋体"/>
                <w:color w:val="000000"/>
                <w:kern w:val="0"/>
              </w:rPr>
              <w:t>3.1总体要求</w:t>
            </w:r>
          </w:p>
        </w:tc>
        <w:tc>
          <w:tcPr>
            <w:tcW w:w="2976" w:type="dxa"/>
            <w:tcMar>
              <w:top w:w="57" w:type="dxa"/>
              <w:left w:w="108" w:type="dxa"/>
              <w:bottom w:w="57" w:type="dxa"/>
              <w:right w:w="108" w:type="dxa"/>
            </w:tcMar>
            <w:vAlign w:val="center"/>
          </w:tcPr>
          <w:p w14:paraId="08AFB744">
            <w:pPr>
              <w:adjustRightInd w:val="0"/>
              <w:snapToGrid w:val="0"/>
              <w:jc w:val="left"/>
              <w:rPr>
                <w:rFonts w:ascii="Times New Roman" w:hAnsi="Times New Roman" w:eastAsia="宋体"/>
                <w:color w:val="000000"/>
                <w:kern w:val="0"/>
              </w:rPr>
            </w:pPr>
            <w:r>
              <w:rPr>
                <w:rFonts w:hint="eastAsia" w:ascii="楷体" w:hAnsi="楷体" w:eastAsia="楷体"/>
                <w:color w:val="000000"/>
                <w:kern w:val="0"/>
              </w:rPr>
              <w:t>判断基准：</w:t>
            </w:r>
            <w:r>
              <w:rPr>
                <w:rFonts w:hint="eastAsia" w:ascii="Times New Roman" w:hAnsi="Times New Roman" w:eastAsia="宋体"/>
                <w:color w:val="000000"/>
                <w:kern w:val="0"/>
              </w:rPr>
              <w:t>有明确、公开、可衡量的专业毕业要求，并建立定期修订机制；毕业要求能支撑培养目标的达成，并覆盖本表格中3.2~3.9的二级指标</w:t>
            </w:r>
          </w:p>
          <w:p w14:paraId="58166BB1">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本专业人才培养方案设立了毕业要求具体条款（覆盖了本表格</w:t>
            </w:r>
            <w:r>
              <w:rPr>
                <w:rFonts w:ascii="Times New Roman" w:hAnsi="Times New Roman" w:eastAsia="宋体"/>
                <w:color w:val="000000"/>
                <w:kern w:val="0"/>
              </w:rPr>
              <w:t>3.2~3.9</w:t>
            </w:r>
            <w:r>
              <w:rPr>
                <w:rFonts w:hint="eastAsia" w:ascii="宋体" w:hAnsi="宋体" w:eastAsia="宋体" w:cs="宋体"/>
                <w:color w:val="000000"/>
                <w:kern w:val="0"/>
              </w:rPr>
              <w:t>），</w:t>
            </w:r>
          </w:p>
          <w:p w14:paraId="6F2E43C8">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在人才培养方案编制说明中专门说明毕业要求与培养目标关系，通过年度企业调研得到毕业要求达成度分析结论，通过年度人才培养方案评审会修订毕业要求</w:t>
            </w:r>
          </w:p>
          <w:p w14:paraId="5CEB51BB">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通过教研活动全体专业教师学习新修订的本专业毕业要求，通过专业认识课程向学生宣贯本专业新修订的毕业要求</w:t>
            </w:r>
          </w:p>
        </w:tc>
        <w:tc>
          <w:tcPr>
            <w:tcW w:w="4684" w:type="dxa"/>
            <w:tcMar>
              <w:top w:w="57" w:type="dxa"/>
              <w:left w:w="108" w:type="dxa"/>
              <w:bottom w:w="57" w:type="dxa"/>
              <w:right w:w="108" w:type="dxa"/>
            </w:tcMar>
            <w:vAlign w:val="center"/>
          </w:tcPr>
          <w:p w14:paraId="4AAB595C">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教师研讨与学生了解毕业要求的活动材料，明确记载专业毕业要求公开的材料；近三年专业毕业要求达成情况评价及分析材料，毕业要求修订记录；描述和记载毕业要求与培养目标的支撑与对接关系的文本材料，毕业要求覆盖本表格3.2~3.9的二级指标的审核材料</w:t>
            </w:r>
          </w:p>
          <w:p w14:paraId="2A9003E0">
            <w:pPr>
              <w:adjustRightInd w:val="0"/>
              <w:snapToGrid w:val="0"/>
              <w:rPr>
                <w:rFonts w:ascii="Times New Roman" w:hAnsi="Times New Roman" w:eastAsia="宋体"/>
                <w:color w:val="000000"/>
                <w:kern w:val="0"/>
              </w:rPr>
            </w:pPr>
            <w:r>
              <w:rPr>
                <w:rFonts w:hint="eastAsia" w:ascii="楷体" w:hAnsi="楷体" w:eastAsia="楷体"/>
                <w:color w:val="000000"/>
                <w:kern w:val="0"/>
              </w:rPr>
              <w:t>具象1：</w:t>
            </w:r>
            <w:r>
              <w:rPr>
                <w:rFonts w:hint="eastAsia" w:ascii="宋体" w:hAnsi="宋体" w:eastAsia="宋体" w:cs="宋体"/>
                <w:color w:val="000000"/>
                <w:kern w:val="0"/>
              </w:rPr>
              <w:t>2023年、2024年、2025年</w:t>
            </w:r>
            <w:r>
              <w:rPr>
                <w:rFonts w:hint="eastAsia" w:ascii="Times New Roman" w:hAnsi="Times New Roman" w:eastAsia="宋体"/>
                <w:color w:val="000000"/>
                <w:kern w:val="0"/>
              </w:rPr>
              <w:t>专业教师教研活动研讨毕业要求记录，专业认识课程宣贯毕业要求的教学日志</w:t>
            </w:r>
          </w:p>
          <w:p w14:paraId="71F17FF7">
            <w:pPr>
              <w:adjustRightInd w:val="0"/>
              <w:snapToGrid w:val="0"/>
              <w:rPr>
                <w:rFonts w:hint="eastAsia" w:ascii="宋体" w:hAnsi="宋体" w:eastAsia="宋体" w:cs="宋体"/>
                <w:color w:val="000000"/>
                <w:kern w:val="0"/>
              </w:rPr>
            </w:pPr>
            <w:r>
              <w:rPr>
                <w:rFonts w:hint="eastAsia" w:ascii="楷体" w:hAnsi="楷体" w:eastAsia="楷体"/>
                <w:color w:val="000000"/>
                <w:kern w:val="0"/>
              </w:rPr>
              <w:t>具象2：</w:t>
            </w:r>
            <w:r>
              <w:rPr>
                <w:rFonts w:hint="eastAsia" w:ascii="宋体" w:hAnsi="宋体" w:eastAsia="宋体" w:cs="宋体"/>
                <w:color w:val="000000"/>
                <w:kern w:val="0"/>
              </w:rPr>
              <w:t>2023年、2024年、2025年本专业人才培养方案审定修订毕业要求的记录，本专业人才培养方案及编制说明（涉及毕业要求）文本</w:t>
            </w:r>
          </w:p>
          <w:p w14:paraId="58C70D88">
            <w:pPr>
              <w:adjustRightInd w:val="0"/>
              <w:snapToGrid w:val="0"/>
              <w:rPr>
                <w:rFonts w:hint="eastAsia" w:ascii="楷体" w:hAnsi="楷体" w:eastAsia="楷体" w:cs="宋体"/>
                <w:color w:val="000000"/>
                <w:kern w:val="0"/>
              </w:rPr>
            </w:pPr>
            <w:r>
              <w:rPr>
                <w:rFonts w:hint="eastAsia" w:ascii="楷体" w:hAnsi="楷体" w:eastAsia="楷体"/>
                <w:color w:val="000000"/>
                <w:kern w:val="0"/>
              </w:rPr>
              <w:t>具象3：</w:t>
            </w:r>
            <w:r>
              <w:rPr>
                <w:rFonts w:hint="eastAsia" w:ascii="宋体" w:hAnsi="宋体" w:eastAsia="宋体" w:cs="宋体"/>
                <w:color w:val="000000"/>
                <w:kern w:val="0"/>
              </w:rPr>
              <w:t>2023年、2024年、2025年企业调研报告（毕业要求达成度分析结论：达成但提出了新建议）</w:t>
            </w:r>
          </w:p>
        </w:tc>
      </w:tr>
      <w:tr w14:paraId="70082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42035897">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56A8189">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31F80EB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1459EAFC">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采信情况：现场查阅到了具象1</w:t>
            </w:r>
            <w:r>
              <w:rPr>
                <w:rFonts w:hint="eastAsia" w:ascii="楷体" w:hAnsi="楷体" w:eastAsia="楷体" w:cs="宋体"/>
                <w:kern w:val="0"/>
              </w:rPr>
              <w:t>—</w:t>
            </w:r>
            <w:r>
              <w:rPr>
                <w:rFonts w:hint="eastAsia" w:ascii="楷体" w:hAnsi="楷体" w:eastAsia="楷体" w:cs="宋体"/>
                <w:color w:val="000000"/>
                <w:kern w:val="0"/>
              </w:rPr>
              <w:t>具象3的原始文件，采信</w:t>
            </w:r>
          </w:p>
          <w:p w14:paraId="58989139">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72EB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03369B46">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60EF7A36">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3.2知识领域</w:t>
            </w:r>
          </w:p>
        </w:tc>
        <w:tc>
          <w:tcPr>
            <w:tcW w:w="2976" w:type="dxa"/>
            <w:tcMar>
              <w:top w:w="57" w:type="dxa"/>
              <w:left w:w="108" w:type="dxa"/>
              <w:bottom w:w="57" w:type="dxa"/>
              <w:right w:w="108" w:type="dxa"/>
            </w:tcMar>
            <w:vAlign w:val="center"/>
          </w:tcPr>
          <w:p w14:paraId="5E3042C8">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能将公共基础知识、专业知识用于解决生产现场技术与产品问题</w:t>
            </w:r>
          </w:p>
          <w:p w14:paraId="7C7EE957">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本专业定义的生产现场技术问题是冷冲压模具和塑料注塑模具的零件制造、模具装配的工艺问题；制成的模具及模具产出的冲压件和塑料件是本专业生产现场的产品</w:t>
            </w:r>
          </w:p>
          <w:p w14:paraId="2BCAA405">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开设的与解决生产现场技术与产品问题的公共基础知识（主要涉及应用数学</w:t>
            </w:r>
            <w:r>
              <w:rPr>
                <w:rFonts w:ascii="宋体" w:hAnsi="宋体" w:eastAsia="宋体" w:cs="宋体"/>
                <w:color w:val="000000"/>
                <w:kern w:val="0"/>
              </w:rPr>
              <w:t>A</w:t>
            </w:r>
            <w:r>
              <w:rPr>
                <w:rFonts w:hint="eastAsia" w:ascii="宋体" w:hAnsi="宋体" w:eastAsia="宋体" w:cs="宋体"/>
                <w:color w:val="000000"/>
                <w:kern w:val="0"/>
              </w:rPr>
              <w:t>、物理基础及应用、信息技术与人工智能基础，专业知识主要涉及机械制造工艺、模具制造工艺、数控编程与</w:t>
            </w:r>
            <w:r>
              <w:rPr>
                <w:rFonts w:ascii="宋体" w:hAnsi="宋体" w:eastAsia="宋体" w:cs="宋体"/>
                <w:color w:val="000000"/>
                <w:kern w:val="0"/>
              </w:rPr>
              <w:t>CAM技术</w:t>
            </w:r>
            <w:r>
              <w:rPr>
                <w:rFonts w:hint="eastAsia" w:ascii="宋体" w:hAnsi="宋体" w:eastAsia="宋体" w:cs="宋体"/>
                <w:color w:val="000000"/>
                <w:kern w:val="0"/>
              </w:rPr>
              <w:t>等课程）</w:t>
            </w:r>
          </w:p>
        </w:tc>
        <w:tc>
          <w:tcPr>
            <w:tcW w:w="4684" w:type="dxa"/>
            <w:tcMar>
              <w:top w:w="57" w:type="dxa"/>
              <w:left w:w="108" w:type="dxa"/>
              <w:bottom w:w="57" w:type="dxa"/>
              <w:right w:w="108" w:type="dxa"/>
            </w:tcMar>
            <w:vAlign w:val="center"/>
          </w:tcPr>
          <w:p w14:paraId="18031F92">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专业课程中融合公共基础知识、专业知识解决生产现场技术与产品问题的教学项目或案例汇总材料；学生运用公共基础知识、专业知识解决生产现场技术与产品问题的学习成果汇总与分析材料</w:t>
            </w:r>
          </w:p>
          <w:p w14:paraId="4ADEF004">
            <w:pPr>
              <w:adjustRightInd w:val="0"/>
              <w:snapToGrid w:val="0"/>
              <w:rPr>
                <w:rFonts w:hint="eastAsia" w:ascii="宋体" w:hAnsi="宋体" w:eastAsia="宋体" w:cs="宋体"/>
                <w:color w:val="EE0000"/>
                <w:kern w:val="0"/>
              </w:rPr>
            </w:pPr>
            <w:r>
              <w:rPr>
                <w:rFonts w:hint="eastAsia" w:ascii="楷体" w:hAnsi="楷体" w:eastAsia="楷体"/>
                <w:color w:val="000000"/>
                <w:kern w:val="0"/>
              </w:rPr>
              <w:t>具象1：</w:t>
            </w:r>
            <w:r>
              <w:rPr>
                <w:rFonts w:hint="eastAsia" w:ascii="宋体" w:hAnsi="宋体" w:eastAsia="宋体" w:cs="宋体"/>
                <w:color w:val="000000"/>
                <w:kern w:val="0"/>
              </w:rPr>
              <w:t>2023年、2024年、2025年解决本专业生产现场技术与产品问题的教学项目案例及实施课程汇总</w:t>
            </w:r>
            <w:r>
              <w:rPr>
                <w:rFonts w:hint="eastAsia" w:ascii="Times New Roman" w:hAnsi="Times New Roman" w:eastAsia="宋体"/>
                <w:color w:val="000000"/>
                <w:kern w:val="0"/>
              </w:rPr>
              <w:t>表（智</w:t>
            </w:r>
            <w:r>
              <w:rPr>
                <w:rFonts w:hint="eastAsia" w:ascii="宋体" w:hAnsi="宋体" w:eastAsia="宋体" w:cs="宋体"/>
                <w:color w:val="000000" w:themeColor="text1"/>
                <w:kern w:val="0"/>
                <w14:textFill>
                  <w14:solidFill>
                    <w14:schemeClr w14:val="tx1"/>
                  </w14:solidFill>
                </w14:textFill>
              </w:rPr>
              <w:t>慧教务相关课程的教学日志）</w:t>
            </w:r>
          </w:p>
          <w:p w14:paraId="65AAAA55">
            <w:pPr>
              <w:adjustRightInd w:val="0"/>
              <w:snapToGrid w:val="0"/>
              <w:rPr>
                <w:rFonts w:ascii="Times New Roman" w:hAnsi="Times New Roman" w:eastAsia="宋体"/>
                <w:color w:val="000000"/>
                <w:kern w:val="0"/>
              </w:rPr>
            </w:pPr>
            <w:r>
              <w:rPr>
                <w:rFonts w:hint="eastAsia" w:ascii="楷体" w:hAnsi="楷体" w:eastAsia="楷体"/>
                <w:color w:val="000000"/>
                <w:kern w:val="0"/>
              </w:rPr>
              <w:t>具象2：</w:t>
            </w:r>
            <w:r>
              <w:rPr>
                <w:rFonts w:hint="eastAsia" w:ascii="Times New Roman" w:hAnsi="Times New Roman" w:eastAsia="宋体"/>
                <w:color w:val="000000"/>
                <w:kern w:val="0"/>
              </w:rPr>
              <w:t>机械制造工艺课程学生编制的模具结构零件（固定板、垫板等）和工艺文件（机械学院教学归档材料）</w:t>
            </w:r>
          </w:p>
          <w:p w14:paraId="5F5579C2">
            <w:pPr>
              <w:adjustRightInd w:val="0"/>
              <w:snapToGrid w:val="0"/>
              <w:rPr>
                <w:rFonts w:hint="eastAsia" w:ascii="宋体" w:hAnsi="宋体" w:eastAsia="宋体" w:cs="宋体"/>
                <w:color w:val="EE0000"/>
                <w:kern w:val="0"/>
                <w:highlight w:val="yellow"/>
              </w:rPr>
            </w:pPr>
            <w:r>
              <w:rPr>
                <w:rFonts w:hint="eastAsia" w:ascii="楷体" w:hAnsi="楷体" w:eastAsia="楷体"/>
                <w:color w:val="000000"/>
                <w:kern w:val="0"/>
              </w:rPr>
              <w:t>具象</w:t>
            </w:r>
            <w:r>
              <w:rPr>
                <w:rFonts w:ascii="楷体" w:hAnsi="楷体" w:eastAsia="楷体"/>
                <w:color w:val="000000"/>
                <w:kern w:val="0"/>
              </w:rPr>
              <w:t>3</w:t>
            </w:r>
            <w:r>
              <w:rPr>
                <w:rFonts w:hint="eastAsia" w:ascii="楷体" w:hAnsi="楷体" w:eastAsia="楷体"/>
                <w:color w:val="000000"/>
                <w:kern w:val="0"/>
              </w:rPr>
              <w:t>：</w:t>
            </w:r>
            <w:r>
              <w:rPr>
                <w:rFonts w:hint="eastAsia" w:ascii="Times New Roman" w:hAnsi="Times New Roman" w:eastAsia="宋体"/>
                <w:color w:val="000000"/>
                <w:kern w:val="0"/>
              </w:rPr>
              <w:t>模具制造工艺课程学生编制的模具成型零件（凸模、凹模等）的工艺文件（机械学院教学归档材料）</w:t>
            </w:r>
          </w:p>
          <w:p w14:paraId="6D2D037B">
            <w:pPr>
              <w:adjustRightInd w:val="0"/>
              <w:snapToGrid w:val="0"/>
              <w:rPr>
                <w:rFonts w:hint="eastAsia" w:ascii="楷体" w:hAnsi="楷体" w:eastAsia="楷体" w:cs="宋体"/>
                <w:color w:val="000000"/>
                <w:kern w:val="0"/>
              </w:rPr>
            </w:pPr>
            <w:r>
              <w:rPr>
                <w:rFonts w:hint="eastAsia" w:ascii="楷体" w:hAnsi="楷体" w:eastAsia="楷体"/>
                <w:color w:val="000000"/>
                <w:kern w:val="0"/>
              </w:rPr>
              <w:t>具象</w:t>
            </w:r>
            <w:r>
              <w:rPr>
                <w:rFonts w:ascii="楷体" w:hAnsi="楷体" w:eastAsia="楷体"/>
                <w:color w:val="000000"/>
                <w:kern w:val="0"/>
              </w:rPr>
              <w:t>4</w:t>
            </w:r>
            <w:r>
              <w:rPr>
                <w:rFonts w:hint="eastAsia" w:ascii="楷体" w:hAnsi="楷体" w:eastAsia="楷体"/>
                <w:color w:val="000000"/>
                <w:kern w:val="0"/>
              </w:rPr>
              <w:t>：</w:t>
            </w:r>
            <w:r>
              <w:rPr>
                <w:rFonts w:hint="eastAsia" w:ascii="Times New Roman" w:hAnsi="Times New Roman" w:eastAsia="宋体"/>
                <w:color w:val="000000"/>
                <w:kern w:val="0"/>
              </w:rPr>
              <w:t>数控编程与</w:t>
            </w:r>
            <w:r>
              <w:rPr>
                <w:rFonts w:ascii="Times New Roman" w:hAnsi="Times New Roman" w:eastAsia="宋体"/>
                <w:color w:val="000000"/>
                <w:kern w:val="0"/>
              </w:rPr>
              <w:t>CAM技术</w:t>
            </w:r>
            <w:r>
              <w:rPr>
                <w:rFonts w:hint="eastAsia" w:ascii="Times New Roman" w:hAnsi="Times New Roman" w:eastAsia="宋体"/>
                <w:color w:val="000000"/>
                <w:kern w:val="0"/>
              </w:rPr>
              <w:t>课程学生编写的模具零件数控加工工艺和数控加工程序（机械学院教学归档材料）</w:t>
            </w:r>
          </w:p>
        </w:tc>
      </w:tr>
      <w:tr w14:paraId="15000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4E45E0C3">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69CC8675">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664F2CB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067440A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采信情况：现场查阅到了教学项目案例及实施课程汇总表涉及课程的教学日志，符合</w:t>
            </w:r>
            <w:r>
              <w:rPr>
                <w:rFonts w:hint="eastAsia" w:ascii="楷体" w:hAnsi="楷体" w:eastAsia="楷体" w:cs="宋体"/>
                <w:kern w:val="0"/>
              </w:rPr>
              <w:t>具象1—具象3</w:t>
            </w:r>
            <w:r>
              <w:rPr>
                <w:rFonts w:hint="eastAsia" w:ascii="楷体" w:hAnsi="楷体" w:eastAsia="楷体" w:cs="宋体"/>
                <w:color w:val="000000"/>
                <w:kern w:val="0"/>
              </w:rPr>
              <w:t>的描述，采信</w:t>
            </w:r>
          </w:p>
          <w:p w14:paraId="34E01E88">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24184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3D92E764">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47C3C404">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3.3工具使用</w:t>
            </w:r>
          </w:p>
        </w:tc>
        <w:tc>
          <w:tcPr>
            <w:tcW w:w="2976" w:type="dxa"/>
            <w:tcMar>
              <w:top w:w="57" w:type="dxa"/>
              <w:left w:w="108" w:type="dxa"/>
              <w:bottom w:w="57" w:type="dxa"/>
              <w:right w:w="108" w:type="dxa"/>
            </w:tcMar>
            <w:vAlign w:val="center"/>
          </w:tcPr>
          <w:p w14:paraId="3C439B61">
            <w:pPr>
              <w:adjustRightInd w:val="0"/>
              <w:snapToGrid w:val="0"/>
              <w:jc w:val="left"/>
              <w:rPr>
                <w:rFonts w:hint="eastAsia"/>
              </w:rPr>
            </w:pPr>
            <w:r>
              <w:rPr>
                <w:rFonts w:hint="eastAsia" w:ascii="楷体" w:hAnsi="楷体" w:eastAsia="楷体" w:cs="宋体"/>
                <w:color w:val="000000"/>
                <w:kern w:val="0"/>
              </w:rPr>
              <w:t>判断基准：</w:t>
            </w:r>
            <w:r>
              <w:rPr>
                <w:rFonts w:hint="eastAsia" w:ascii="宋体" w:hAnsi="宋体" w:eastAsia="宋体"/>
              </w:rPr>
              <w:t>能选择与使用恰当的工具解决生产现场技术与产品问题</w:t>
            </w:r>
          </w:p>
          <w:p w14:paraId="08ACAE7C">
            <w:pPr>
              <w:adjustRightInd w:val="0"/>
              <w:snapToGrid w:val="0"/>
              <w:jc w:val="left"/>
              <w:rPr>
                <w:rFonts w:hint="eastAsia"/>
              </w:rPr>
            </w:pPr>
            <w:r>
              <w:rPr>
                <w:rFonts w:hint="eastAsia" w:ascii="楷体" w:hAnsi="楷体" w:eastAsia="楷体"/>
              </w:rPr>
              <w:t>具象1：</w:t>
            </w:r>
            <w:r>
              <w:rPr>
                <w:rFonts w:hint="eastAsia" w:ascii="宋体" w:hAnsi="宋体" w:eastAsia="宋体"/>
              </w:rPr>
              <w:t>模具 CAD/CAM 技术课程使用UG NX软件解决了模具零件的加工程序编制问题</w:t>
            </w:r>
          </w:p>
          <w:p w14:paraId="63AE8125">
            <w:pPr>
              <w:adjustRightInd w:val="0"/>
              <w:snapToGrid w:val="0"/>
              <w:jc w:val="left"/>
              <w:rPr>
                <w:rFonts w:hint="eastAsia" w:ascii="宋体" w:hAnsi="宋体" w:eastAsia="宋体"/>
              </w:rPr>
            </w:pPr>
            <w:r>
              <w:rPr>
                <w:rFonts w:hint="eastAsia" w:ascii="楷体" w:hAnsi="楷体" w:eastAsia="楷体"/>
              </w:rPr>
              <w:t>具象2：</w:t>
            </w:r>
            <w:r>
              <w:rPr>
                <w:rFonts w:hint="eastAsia" w:ascii="宋体" w:hAnsi="宋体" w:eastAsia="宋体"/>
              </w:rPr>
              <w:t>模具制造工艺课程使用各式机床解决了模具零件加工工艺编制问题</w:t>
            </w:r>
          </w:p>
          <w:p w14:paraId="389D47D3">
            <w:pPr>
              <w:adjustRightInd w:val="0"/>
              <w:snapToGrid w:val="0"/>
              <w:jc w:val="left"/>
              <w:rPr>
                <w:rFonts w:hint="eastAsia" w:ascii="宋体" w:hAnsi="宋体" w:eastAsia="宋体"/>
              </w:rPr>
            </w:pPr>
            <w:r>
              <w:rPr>
                <w:rFonts w:hint="eastAsia" w:ascii="楷体" w:hAnsi="楷体" w:eastAsia="楷体" w:cs="宋体"/>
                <w:color w:val="000000"/>
                <w:kern w:val="0"/>
              </w:rPr>
              <w:t>具象3：</w:t>
            </w:r>
            <w:r>
              <w:rPr>
                <w:rFonts w:hint="eastAsia" w:ascii="宋体" w:hAnsi="宋体" w:eastAsia="宋体"/>
              </w:rPr>
              <w:t>模具</w:t>
            </w:r>
            <w:r>
              <w:rPr>
                <w:rFonts w:ascii="宋体" w:hAnsi="宋体" w:eastAsia="宋体"/>
              </w:rPr>
              <w:t>CAE分析</w:t>
            </w:r>
            <w:r>
              <w:rPr>
                <w:rFonts w:hint="eastAsia" w:ascii="宋体" w:hAnsi="宋体" w:eastAsia="宋体"/>
              </w:rPr>
              <w:t>课程使用</w:t>
            </w:r>
            <w:r>
              <w:rPr>
                <w:rFonts w:ascii="宋体" w:hAnsi="宋体" w:eastAsia="宋体"/>
              </w:rPr>
              <w:t>仿真</w:t>
            </w:r>
            <w:r>
              <w:rPr>
                <w:rFonts w:hint="eastAsia" w:ascii="宋体" w:hAnsi="宋体" w:eastAsia="宋体"/>
              </w:rPr>
              <w:t>软件分析冲压件或塑件产品工艺缺陷</w:t>
            </w:r>
          </w:p>
          <w:p w14:paraId="04D94C43">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w:t>
            </w:r>
            <w:r>
              <w:rPr>
                <w:rFonts w:ascii="楷体" w:hAnsi="楷体" w:eastAsia="楷体" w:cs="宋体"/>
                <w:color w:val="000000"/>
                <w:kern w:val="0"/>
              </w:rPr>
              <w:t>4</w:t>
            </w:r>
            <w:r>
              <w:rPr>
                <w:rFonts w:hint="eastAsia" w:ascii="楷体" w:hAnsi="楷体" w:eastAsia="楷体" w:cs="宋体"/>
                <w:color w:val="000000"/>
                <w:kern w:val="0"/>
              </w:rPr>
              <w:t>：</w:t>
            </w:r>
            <w:r>
              <w:rPr>
                <w:rFonts w:hint="eastAsia" w:ascii="宋体" w:hAnsi="宋体" w:eastAsia="宋体"/>
              </w:rPr>
              <w:t>数控铣床操作实训课程使用数控铣床加工零件</w:t>
            </w:r>
          </w:p>
          <w:p w14:paraId="1F4F5B51">
            <w:pPr>
              <w:adjustRightInd w:val="0"/>
              <w:snapToGrid w:val="0"/>
              <w:jc w:val="left"/>
              <w:rPr>
                <w:rFonts w:hint="eastAsia" w:ascii="宋体" w:hAnsi="宋体" w:eastAsia="宋体"/>
              </w:rPr>
            </w:pPr>
            <w:r>
              <w:rPr>
                <w:rFonts w:hint="eastAsia" w:ascii="楷体" w:hAnsi="楷体" w:eastAsia="楷体"/>
              </w:rPr>
              <w:t>具象5：</w:t>
            </w:r>
            <w:r>
              <w:rPr>
                <w:rFonts w:hint="eastAsia" w:ascii="宋体" w:hAnsi="宋体" w:eastAsia="宋体"/>
              </w:rPr>
              <w:t>钳工实训课程使用</w:t>
            </w:r>
            <w:r>
              <w:rPr>
                <w:rFonts w:ascii="宋体" w:hAnsi="宋体" w:eastAsia="宋体"/>
              </w:rPr>
              <w:t>锯、锉、钻孔、攻丝</w:t>
            </w:r>
            <w:r>
              <w:rPr>
                <w:rFonts w:hint="eastAsia" w:ascii="宋体" w:hAnsi="宋体" w:eastAsia="宋体"/>
              </w:rPr>
              <w:t>等工具学习模具装配工艺</w:t>
            </w:r>
          </w:p>
          <w:p w14:paraId="426EF603">
            <w:pPr>
              <w:adjustRightInd w:val="0"/>
              <w:snapToGrid w:val="0"/>
              <w:jc w:val="left"/>
              <w:rPr>
                <w:rFonts w:hint="eastAsia" w:ascii="楷体" w:hAnsi="楷体" w:eastAsia="楷体" w:cs="宋体"/>
                <w:color w:val="000000"/>
                <w:kern w:val="0"/>
              </w:rPr>
            </w:pPr>
            <w:r>
              <w:rPr>
                <w:rFonts w:hint="eastAsia" w:ascii="楷体" w:hAnsi="楷体" w:eastAsia="楷体"/>
              </w:rPr>
              <w:t>具象6：</w:t>
            </w:r>
            <w:r>
              <w:rPr>
                <w:rFonts w:hint="eastAsia" w:ascii="宋体" w:hAnsi="宋体" w:eastAsia="宋体"/>
              </w:rPr>
              <w:t>电加工实训课程使用电火花成型和线切割机床学习模具淬火件加工工艺</w:t>
            </w:r>
          </w:p>
        </w:tc>
        <w:tc>
          <w:tcPr>
            <w:tcW w:w="4684" w:type="dxa"/>
            <w:tcMar>
              <w:top w:w="57" w:type="dxa"/>
              <w:left w:w="108" w:type="dxa"/>
              <w:bottom w:w="57" w:type="dxa"/>
              <w:right w:w="108" w:type="dxa"/>
            </w:tcMar>
            <w:vAlign w:val="center"/>
          </w:tcPr>
          <w:p w14:paraId="35E0A4C9">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使用工具解决生产现场技术与产品问题的教学项目或案例的汇总材料；学生选择与使用工具解决生产现场技术与产品问题的学习成果汇总与分析材料</w:t>
            </w:r>
          </w:p>
          <w:p w14:paraId="061E88BE">
            <w:pPr>
              <w:adjustRightInd w:val="0"/>
              <w:snapToGrid w:val="0"/>
              <w:rPr>
                <w:rFonts w:hint="eastAsia" w:ascii="楷体" w:hAnsi="楷体" w:eastAsia="楷体"/>
              </w:rPr>
            </w:pPr>
            <w:r>
              <w:rPr>
                <w:rFonts w:hint="eastAsia" w:ascii="楷体" w:hAnsi="楷体" w:eastAsia="楷体"/>
                <w:color w:val="000000"/>
                <w:kern w:val="0"/>
              </w:rPr>
              <w:t>具象1：</w:t>
            </w:r>
            <w:r>
              <w:rPr>
                <w:rFonts w:hint="eastAsia" w:ascii="宋体" w:hAnsi="宋体" w:eastAsia="宋体"/>
                <w:color w:val="000000"/>
                <w:kern w:val="0"/>
              </w:rPr>
              <w:t>（同</w:t>
            </w:r>
            <w:r>
              <w:rPr>
                <w:rFonts w:hint="eastAsia" w:ascii="宋体" w:hAnsi="宋体" w:eastAsia="宋体"/>
              </w:rPr>
              <w:t>3.2知识领域判断依据之具象4）</w:t>
            </w:r>
          </w:p>
          <w:p w14:paraId="5C708CB5">
            <w:pPr>
              <w:adjustRightInd w:val="0"/>
              <w:snapToGrid w:val="0"/>
              <w:rPr>
                <w:rFonts w:hint="eastAsia" w:ascii="楷体" w:hAnsi="楷体" w:eastAsia="楷体"/>
              </w:rPr>
            </w:pPr>
            <w:r>
              <w:rPr>
                <w:rFonts w:hint="eastAsia" w:ascii="楷体" w:hAnsi="楷体" w:eastAsia="楷体"/>
                <w:color w:val="000000"/>
                <w:kern w:val="0"/>
              </w:rPr>
              <w:t>具象2：</w:t>
            </w:r>
            <w:r>
              <w:rPr>
                <w:rFonts w:hint="eastAsia" w:ascii="宋体" w:hAnsi="宋体" w:eastAsia="宋体"/>
                <w:color w:val="000000"/>
                <w:kern w:val="0"/>
              </w:rPr>
              <w:t>（同</w:t>
            </w:r>
            <w:r>
              <w:rPr>
                <w:rFonts w:hint="eastAsia" w:ascii="宋体" w:hAnsi="宋体" w:eastAsia="宋体"/>
              </w:rPr>
              <w:t>3.2知识领域判断依据之具象3）</w:t>
            </w:r>
          </w:p>
          <w:p w14:paraId="64D2D19F">
            <w:pPr>
              <w:adjustRightInd w:val="0"/>
              <w:snapToGrid w:val="0"/>
              <w:rPr>
                <w:rFonts w:hint="eastAsia" w:ascii="宋体" w:hAnsi="宋体" w:eastAsia="宋体"/>
              </w:rPr>
            </w:pPr>
            <w:r>
              <w:rPr>
                <w:rFonts w:hint="eastAsia" w:ascii="楷体" w:hAnsi="楷体" w:eastAsia="楷体" w:cs="宋体"/>
                <w:color w:val="000000"/>
                <w:kern w:val="0"/>
              </w:rPr>
              <w:t>具象3：</w:t>
            </w:r>
            <w:r>
              <w:rPr>
                <w:rFonts w:hint="eastAsia" w:ascii="宋体" w:hAnsi="宋体" w:eastAsia="宋体"/>
              </w:rPr>
              <w:t>模具</w:t>
            </w:r>
            <w:r>
              <w:rPr>
                <w:rFonts w:ascii="宋体" w:hAnsi="宋体" w:eastAsia="宋体"/>
              </w:rPr>
              <w:t>CAE分析</w:t>
            </w:r>
            <w:r>
              <w:rPr>
                <w:rFonts w:hint="eastAsia" w:ascii="宋体" w:hAnsi="宋体" w:eastAsia="宋体"/>
              </w:rPr>
              <w:t>课程学生提交的冲压件、塑压件的CAE分析（机械学院教学归档材料）</w:t>
            </w:r>
          </w:p>
          <w:p w14:paraId="06C0A0C0">
            <w:pPr>
              <w:adjustRightInd w:val="0"/>
              <w:snapToGrid w:val="0"/>
              <w:rPr>
                <w:rFonts w:hint="eastAsia" w:ascii="宋体" w:hAnsi="宋体" w:eastAsia="宋体"/>
                <w:color w:val="000000"/>
                <w:kern w:val="0"/>
              </w:rPr>
            </w:pPr>
            <w:r>
              <w:rPr>
                <w:rFonts w:hint="eastAsia" w:ascii="楷体" w:hAnsi="楷体" w:eastAsia="楷体" w:cs="宋体"/>
                <w:color w:val="000000"/>
                <w:kern w:val="0"/>
              </w:rPr>
              <w:t>具象4：</w:t>
            </w:r>
            <w:r>
              <w:rPr>
                <w:rFonts w:hint="eastAsia" w:ascii="宋体" w:hAnsi="宋体" w:eastAsia="宋体"/>
                <w:color w:val="000000"/>
                <w:kern w:val="0"/>
              </w:rPr>
              <w:t>机械学院保留的部分学生加工的数控铣零件实物及对应评分表</w:t>
            </w:r>
          </w:p>
          <w:p w14:paraId="26E38D04">
            <w:pPr>
              <w:adjustRightInd w:val="0"/>
              <w:snapToGrid w:val="0"/>
              <w:rPr>
                <w:rFonts w:hint="eastAsia" w:ascii="宋体" w:hAnsi="宋体" w:eastAsia="宋体"/>
              </w:rPr>
            </w:pPr>
            <w:r>
              <w:rPr>
                <w:rFonts w:hint="eastAsia" w:ascii="楷体" w:hAnsi="楷体" w:eastAsia="楷体"/>
              </w:rPr>
              <w:t>具象5：</w:t>
            </w:r>
            <w:r>
              <w:rPr>
                <w:rFonts w:hint="eastAsia" w:ascii="宋体" w:hAnsi="宋体" w:eastAsia="宋体"/>
              </w:rPr>
              <w:t>机械学院保留的部分学生钳工制作实物及对应的评分表</w:t>
            </w:r>
          </w:p>
          <w:p w14:paraId="02A58CD4">
            <w:pPr>
              <w:adjustRightInd w:val="0"/>
              <w:snapToGrid w:val="0"/>
              <w:rPr>
                <w:rFonts w:hint="eastAsia" w:ascii="楷体" w:hAnsi="楷体" w:eastAsia="楷体" w:cs="宋体"/>
                <w:color w:val="000000"/>
                <w:kern w:val="0"/>
              </w:rPr>
            </w:pPr>
            <w:r>
              <w:rPr>
                <w:rFonts w:hint="eastAsia" w:ascii="楷体" w:hAnsi="楷体" w:eastAsia="楷体"/>
              </w:rPr>
              <w:t>具象6：</w:t>
            </w:r>
            <w:r>
              <w:rPr>
                <w:rFonts w:hint="eastAsia" w:ascii="宋体" w:hAnsi="宋体" w:eastAsia="宋体"/>
              </w:rPr>
              <w:t>机械学院保留的部分学生完成的电加工零件及对应的评分表</w:t>
            </w:r>
          </w:p>
        </w:tc>
      </w:tr>
      <w:tr w14:paraId="03E9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518B78AF">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6EA1B2E7">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4C59463F">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17E8C252">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采信情况：现场查阅到了教学项目案例及实施课程汇总表涉及课程的教学日志，</w:t>
            </w:r>
            <w:r>
              <w:rPr>
                <w:rFonts w:hint="eastAsia" w:ascii="楷体" w:hAnsi="楷体" w:eastAsia="楷体" w:cs="宋体"/>
                <w:kern w:val="0"/>
              </w:rPr>
              <w:t>符合具象1—具象6</w:t>
            </w:r>
            <w:r>
              <w:rPr>
                <w:rFonts w:hint="eastAsia" w:ascii="楷体" w:hAnsi="楷体" w:eastAsia="楷体" w:cs="宋体"/>
                <w:color w:val="000000"/>
                <w:kern w:val="0"/>
              </w:rPr>
              <w:t>的描述，采信</w:t>
            </w:r>
          </w:p>
          <w:p w14:paraId="577378B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4BD0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3D804130">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7C51A3C7">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3.4技能掌握</w:t>
            </w:r>
          </w:p>
        </w:tc>
        <w:tc>
          <w:tcPr>
            <w:tcW w:w="2976" w:type="dxa"/>
            <w:tcMar>
              <w:top w:w="57" w:type="dxa"/>
              <w:left w:w="108" w:type="dxa"/>
              <w:bottom w:w="57" w:type="dxa"/>
              <w:right w:w="108" w:type="dxa"/>
            </w:tcMar>
            <w:vAlign w:val="center"/>
          </w:tcPr>
          <w:p w14:paraId="63050539">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具备本专业领域岗位群的基础性技能，并具有至少一项与本专业紧密关联的技能</w:t>
            </w:r>
          </w:p>
          <w:p w14:paraId="52A64654">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基础性技能钳工，通过钳工实训课程训练28学时</w:t>
            </w:r>
          </w:p>
          <w:p w14:paraId="4FE4F090">
            <w:pPr>
              <w:adjustRightInd w:val="0"/>
              <w:snapToGrid w:val="0"/>
              <w:jc w:val="left"/>
              <w:rPr>
                <w:rFonts w:hint="eastAsia" w:ascii="宋体" w:hAnsi="宋体" w:eastAsia="宋体"/>
              </w:rPr>
            </w:pPr>
            <w:r>
              <w:rPr>
                <w:rFonts w:hint="eastAsia" w:ascii="楷体" w:hAnsi="楷体" w:eastAsia="楷体"/>
              </w:rPr>
              <w:t>具象2：</w:t>
            </w:r>
            <w:r>
              <w:rPr>
                <w:rFonts w:hint="eastAsia" w:ascii="宋体" w:hAnsi="宋体" w:eastAsia="宋体"/>
              </w:rPr>
              <w:t>基础性技能检测，通过</w:t>
            </w:r>
            <w:r>
              <w:rPr>
                <w:rFonts w:ascii="宋体" w:hAnsi="宋体" w:eastAsia="宋体"/>
              </w:rPr>
              <w:t>几何量精密测量专用周</w:t>
            </w:r>
            <w:r>
              <w:rPr>
                <w:rFonts w:hint="eastAsia" w:ascii="宋体" w:hAnsi="宋体" w:eastAsia="宋体"/>
              </w:rPr>
              <w:t>课程训练2</w:t>
            </w:r>
            <w:r>
              <w:rPr>
                <w:rFonts w:ascii="宋体" w:hAnsi="宋体" w:eastAsia="宋体"/>
              </w:rPr>
              <w:t>8</w:t>
            </w:r>
            <w:r>
              <w:rPr>
                <w:rFonts w:hint="eastAsia" w:ascii="宋体" w:hAnsi="宋体" w:eastAsia="宋体"/>
              </w:rPr>
              <w:t>学时</w:t>
            </w:r>
          </w:p>
          <w:p w14:paraId="1CED9B4F">
            <w:pPr>
              <w:adjustRightInd w:val="0"/>
              <w:snapToGrid w:val="0"/>
              <w:jc w:val="left"/>
              <w:rPr>
                <w:rFonts w:hint="eastAsia" w:ascii="楷体" w:hAnsi="楷体" w:eastAsia="楷体" w:cs="宋体"/>
                <w:color w:val="000000"/>
                <w:kern w:val="0"/>
              </w:rPr>
            </w:pPr>
            <w:r>
              <w:rPr>
                <w:rFonts w:hint="eastAsia" w:ascii="楷体" w:hAnsi="楷体" w:eastAsia="楷体"/>
              </w:rPr>
              <w:t>具象3：</w:t>
            </w:r>
            <w:r>
              <w:rPr>
                <w:rFonts w:hint="eastAsia" w:ascii="宋体" w:hAnsi="宋体" w:eastAsia="宋体"/>
              </w:rPr>
              <w:t>从电切削工中级、数控铣工中级等考证项目中获得1项证书</w:t>
            </w:r>
          </w:p>
        </w:tc>
        <w:tc>
          <w:tcPr>
            <w:tcW w:w="4684" w:type="dxa"/>
            <w:tcMar>
              <w:top w:w="57" w:type="dxa"/>
              <w:left w:w="108" w:type="dxa"/>
              <w:bottom w:w="57" w:type="dxa"/>
              <w:right w:w="108" w:type="dxa"/>
            </w:tcMar>
            <w:vAlign w:val="center"/>
          </w:tcPr>
          <w:p w14:paraId="626BD4C1">
            <w:pPr>
              <w:adjustRightInd w:val="0"/>
              <w:snapToGrid w:val="0"/>
              <w:rPr>
                <w:rFonts w:ascii="Times New Roman" w:hAnsi="Times New Roman" w:eastAsia="宋体"/>
                <w:color w:val="EE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专业课程中基础性技能训练的项目、案例和学习成果的汇总材料；学生获得的与本专业紧密关联的专业技能证书汇总材料；学生技能的现场测试材料</w:t>
            </w:r>
          </w:p>
          <w:p w14:paraId="5DCDCCA6">
            <w:pPr>
              <w:adjustRightInd w:val="0"/>
              <w:snapToGrid w:val="0"/>
              <w:rPr>
                <w:rFonts w:hint="eastAsia" w:ascii="楷体" w:hAnsi="楷体" w:eastAsia="楷体"/>
                <w:color w:val="000000"/>
                <w:kern w:val="0"/>
              </w:rPr>
            </w:pPr>
            <w:r>
              <w:rPr>
                <w:rFonts w:hint="eastAsia" w:ascii="楷体" w:hAnsi="楷体" w:eastAsia="楷体"/>
                <w:color w:val="000000"/>
                <w:kern w:val="0"/>
              </w:rPr>
              <w:t>具象1：</w:t>
            </w:r>
            <w:r>
              <w:rPr>
                <w:rFonts w:hint="eastAsia" w:ascii="宋体" w:hAnsi="宋体" w:eastAsia="宋体"/>
                <w:color w:val="000000"/>
                <w:kern w:val="0"/>
              </w:rPr>
              <w:t>（同</w:t>
            </w:r>
            <w:r>
              <w:rPr>
                <w:rFonts w:hint="eastAsia" w:ascii="宋体" w:hAnsi="宋体" w:eastAsia="宋体"/>
              </w:rPr>
              <w:t>3.3工具使用判断依据之具象5</w:t>
            </w:r>
            <w:r>
              <w:rPr>
                <w:rFonts w:hint="eastAsia" w:ascii="宋体" w:hAnsi="宋体" w:eastAsia="宋体"/>
                <w:color w:val="000000"/>
                <w:kern w:val="0"/>
              </w:rPr>
              <w:t>）</w:t>
            </w:r>
          </w:p>
          <w:p w14:paraId="3B30E2A8">
            <w:pPr>
              <w:adjustRightInd w:val="0"/>
              <w:snapToGrid w:val="0"/>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2023年、2024年、2025年电切削工中级、数控铣工中级模具专业学生获证报表（学校计培部报表）</w:t>
            </w:r>
          </w:p>
          <w:p w14:paraId="5D742584">
            <w:pPr>
              <w:adjustRightInd w:val="0"/>
              <w:snapToGrid w:val="0"/>
              <w:rPr>
                <w:rFonts w:hint="eastAsia" w:ascii="楷体" w:hAnsi="楷体" w:eastAsia="楷体" w:cs="宋体"/>
                <w:color w:val="000000"/>
                <w:kern w:val="0"/>
              </w:rPr>
            </w:pPr>
            <w:r>
              <w:rPr>
                <w:rFonts w:hint="eastAsia" w:ascii="楷体" w:hAnsi="楷体" w:eastAsia="楷体"/>
                <w:color w:val="000000"/>
                <w:kern w:val="0"/>
              </w:rPr>
              <w:t>具象3：</w:t>
            </w:r>
            <w:r>
              <w:rPr>
                <w:rFonts w:hint="eastAsia" w:ascii="宋体" w:hAnsi="宋体" w:eastAsia="宋体"/>
                <w:color w:val="000000"/>
                <w:kern w:val="0"/>
              </w:rPr>
              <w:t>专家进校抽测12位学生测试数控铣工中级技能的实际通过率</w:t>
            </w:r>
          </w:p>
        </w:tc>
      </w:tr>
      <w:tr w14:paraId="2EE7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08B5A430">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3B688487">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33B106A3">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29585BA8">
            <w:pPr>
              <w:adjustRightInd w:val="0"/>
              <w:snapToGrid w:val="0"/>
              <w:rPr>
                <w:rFonts w:hint="eastAsia"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kern w:val="0"/>
              </w:rPr>
              <w:t>采信情况：现场查阅到了教学项目案例及实施课程汇总表涉及课程的教学日志，符合</w:t>
            </w:r>
            <w:r>
              <w:rPr>
                <w:rFonts w:hint="eastAsia" w:ascii="楷体" w:hAnsi="楷体" w:eastAsia="楷体" w:cs="宋体"/>
                <w:kern w:val="0"/>
              </w:rPr>
              <w:t>具象1、具象2</w:t>
            </w:r>
            <w:r>
              <w:rPr>
                <w:rFonts w:hint="eastAsia" w:ascii="楷体" w:hAnsi="楷体" w:eastAsia="楷体" w:cs="宋体"/>
                <w:color w:val="000000"/>
                <w:kern w:val="0"/>
              </w:rPr>
              <w:t>的描述，采信。现场抽测已获数控铣中级证书的学生12名，11名通过测试，通过</w:t>
            </w:r>
            <w:r>
              <w:rPr>
                <w:rFonts w:hint="eastAsia" w:ascii="楷体" w:hAnsi="楷体" w:eastAsia="楷体" w:cs="宋体"/>
                <w:color w:val="000000" w:themeColor="text1"/>
                <w:kern w:val="0"/>
                <w14:textFill>
                  <w14:solidFill>
                    <w14:schemeClr w14:val="tx1"/>
                  </w14:solidFill>
                </w14:textFill>
              </w:rPr>
              <w:t>率91.3%</w:t>
            </w:r>
          </w:p>
          <w:p w14:paraId="3DC0F79A">
            <w:pPr>
              <w:adjustRightInd w:val="0"/>
              <w:snapToGrid w:val="0"/>
              <w:rPr>
                <w:rFonts w:hint="eastAsia" w:ascii="楷体" w:hAnsi="楷体" w:eastAsia="楷体" w:cs="宋体"/>
                <w:color w:val="000000"/>
                <w:kern w:val="0"/>
              </w:rPr>
            </w:pPr>
            <w:r>
              <w:rPr>
                <w:rFonts w:hint="eastAsia" w:ascii="楷体" w:hAnsi="楷体" w:eastAsia="楷体" w:cs="宋体"/>
                <w:color w:val="000000" w:themeColor="text1"/>
                <w:kern w:val="0"/>
                <w14:textFill>
                  <w14:solidFill>
                    <w14:schemeClr w14:val="tx1"/>
                  </w14:solidFill>
                </w14:textFill>
              </w:rPr>
              <w:t>查证结果：A</w:t>
            </w:r>
          </w:p>
        </w:tc>
      </w:tr>
      <w:tr w14:paraId="00F7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04D64024">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2A674F0A">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3.5问题解决</w:t>
            </w:r>
          </w:p>
        </w:tc>
        <w:tc>
          <w:tcPr>
            <w:tcW w:w="2976" w:type="dxa"/>
            <w:tcMar>
              <w:top w:w="57" w:type="dxa"/>
              <w:left w:w="108" w:type="dxa"/>
              <w:bottom w:w="57" w:type="dxa"/>
              <w:right w:w="108" w:type="dxa"/>
            </w:tcMar>
            <w:vAlign w:val="center"/>
          </w:tcPr>
          <w:p w14:paraId="585001AE">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能综合运用课程学习中所习得的知识、技能和创新能力，解决生产现场技术与产品问题</w:t>
            </w:r>
          </w:p>
          <w:p w14:paraId="105D6241">
            <w:pPr>
              <w:adjustRightInd w:val="0"/>
              <w:snapToGrid w:val="0"/>
              <w:jc w:val="left"/>
              <w:rPr>
                <w:rFonts w:hint="eastAsia" w:ascii="楷体" w:hAnsi="楷体" w:eastAsia="楷体"/>
              </w:rPr>
            </w:pPr>
            <w:r>
              <w:rPr>
                <w:rFonts w:hint="eastAsia" w:ascii="楷体" w:hAnsi="楷体" w:eastAsia="楷体"/>
              </w:rPr>
              <w:t>具象1：</w:t>
            </w:r>
            <w:r>
              <w:rPr>
                <w:rFonts w:ascii="宋体" w:hAnsi="宋体" w:eastAsia="宋体"/>
              </w:rPr>
              <w:t>模具设计与制造专业毕业设计</w:t>
            </w:r>
            <w:r>
              <w:rPr>
                <w:rFonts w:hint="eastAsia" w:ascii="宋体" w:hAnsi="宋体" w:eastAsia="宋体"/>
              </w:rPr>
              <w:t>课程综合解决模具设计、制造、装配和编程问题</w:t>
            </w:r>
          </w:p>
          <w:p w14:paraId="698F1C9F">
            <w:pPr>
              <w:adjustRightInd w:val="0"/>
              <w:snapToGrid w:val="0"/>
              <w:jc w:val="left"/>
              <w:rPr>
                <w:rFonts w:hint="eastAsia" w:ascii="楷体" w:hAnsi="楷体" w:eastAsia="楷体" w:cs="宋体"/>
                <w:color w:val="000000"/>
                <w:kern w:val="0"/>
              </w:rPr>
            </w:pPr>
            <w:r>
              <w:rPr>
                <w:rFonts w:hint="eastAsia" w:ascii="楷体" w:hAnsi="楷体" w:eastAsia="楷体"/>
              </w:rPr>
              <w:t>具象2：</w:t>
            </w:r>
            <w:r>
              <w:rPr>
                <w:rFonts w:ascii="宋体" w:hAnsi="宋体" w:eastAsia="宋体"/>
              </w:rPr>
              <w:t>创新综合训练—模具CAD/CAM</w:t>
            </w:r>
            <w:r>
              <w:rPr>
                <w:rFonts w:hint="eastAsia" w:ascii="宋体" w:hAnsi="宋体" w:eastAsia="宋体"/>
              </w:rPr>
              <w:t>课程运用N</w:t>
            </w:r>
            <w:r>
              <w:rPr>
                <w:rFonts w:ascii="宋体" w:hAnsi="宋体" w:eastAsia="宋体"/>
              </w:rPr>
              <w:t>X</w:t>
            </w:r>
            <w:r>
              <w:rPr>
                <w:rFonts w:hint="eastAsia" w:ascii="宋体" w:hAnsi="宋体" w:eastAsia="宋体"/>
              </w:rPr>
              <w:t>完成一副完整模具设计、装配设计图，编制关键零件加工程序</w:t>
            </w:r>
          </w:p>
        </w:tc>
        <w:tc>
          <w:tcPr>
            <w:tcW w:w="4684" w:type="dxa"/>
            <w:tcMar>
              <w:top w:w="57" w:type="dxa"/>
              <w:left w:w="108" w:type="dxa"/>
              <w:bottom w:w="57" w:type="dxa"/>
              <w:right w:w="108" w:type="dxa"/>
            </w:tcMar>
            <w:vAlign w:val="center"/>
          </w:tcPr>
          <w:p w14:paraId="3249E4C4">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调研收集需解决的生产现场技术与产品问题的综合性项目或案例汇总材料，以及相应的综合性教学项目或案例汇总材料；通过综合性项目或案例教学，学生习得的问题分析方法、解决方案设计、实施过程操作等方面取得的学习成果汇总分析材料</w:t>
            </w:r>
          </w:p>
          <w:p w14:paraId="57DA0759">
            <w:pPr>
              <w:adjustRightInd w:val="0"/>
              <w:snapToGrid w:val="0"/>
              <w:rPr>
                <w:rFonts w:hint="eastAsia" w:ascii="楷体" w:hAnsi="楷体" w:eastAsia="楷体"/>
                <w:kern w:val="0"/>
              </w:rPr>
            </w:pPr>
            <w:r>
              <w:rPr>
                <w:rFonts w:hint="eastAsia" w:ascii="楷体" w:hAnsi="楷体" w:eastAsia="楷体"/>
                <w:kern w:val="0"/>
              </w:rPr>
              <w:t>具象1：</w:t>
            </w:r>
            <w:r>
              <w:rPr>
                <w:rFonts w:hint="eastAsia" w:ascii="宋体" w:hAnsi="宋体" w:eastAsia="宋体"/>
                <w:kern w:val="0"/>
              </w:rPr>
              <w:t>2023年、2024年、2025年学生毕业设计成果材料（机械学院教学归档资料）</w:t>
            </w:r>
          </w:p>
          <w:p w14:paraId="6258BA7F">
            <w:pPr>
              <w:adjustRightInd w:val="0"/>
              <w:snapToGrid w:val="0"/>
              <w:rPr>
                <w:rFonts w:hint="eastAsia" w:ascii="楷体" w:hAnsi="楷体" w:eastAsia="楷体" w:cs="宋体"/>
                <w:color w:val="000000"/>
                <w:kern w:val="0"/>
              </w:rPr>
            </w:pPr>
            <w:r>
              <w:rPr>
                <w:rFonts w:hint="eastAsia" w:ascii="楷体" w:hAnsi="楷体" w:eastAsia="楷体"/>
                <w:kern w:val="0"/>
              </w:rPr>
              <w:t>具象2：</w:t>
            </w:r>
            <w:r>
              <w:rPr>
                <w:rFonts w:hint="eastAsia" w:ascii="宋体" w:hAnsi="宋体" w:eastAsia="宋体"/>
                <w:kern w:val="0"/>
              </w:rPr>
              <w:t>2023年、2024年、2025年学生模具CAD/CAM课程成果材料（机械学院教学归档资料）</w:t>
            </w:r>
          </w:p>
        </w:tc>
      </w:tr>
      <w:tr w14:paraId="4E8BE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31094568">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BB871A3">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7DEC4ACC">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具象与依据：符合</w:t>
            </w:r>
          </w:p>
          <w:p w14:paraId="6CFE6EB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采信情况：现场查阅到</w:t>
            </w:r>
            <w:r>
              <w:rPr>
                <w:rFonts w:hint="eastAsia" w:ascii="楷体" w:hAnsi="楷体" w:eastAsia="楷体" w:cs="宋体"/>
                <w:kern w:val="0"/>
              </w:rPr>
              <w:t>具象1—具象3</w:t>
            </w:r>
            <w:r>
              <w:rPr>
                <w:rFonts w:hint="eastAsia" w:ascii="楷体" w:hAnsi="楷体" w:eastAsia="楷体" w:cs="宋体"/>
                <w:color w:val="000000"/>
                <w:kern w:val="0"/>
              </w:rPr>
              <w:t>的原始教学过程及学生成果材料，采信</w:t>
            </w:r>
          </w:p>
          <w:p w14:paraId="77E95C6E">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4345D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689B61E6">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2C07A519">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3.6社会责任</w:t>
            </w:r>
          </w:p>
        </w:tc>
        <w:tc>
          <w:tcPr>
            <w:tcW w:w="2976" w:type="dxa"/>
            <w:tcMar>
              <w:top w:w="57" w:type="dxa"/>
              <w:left w:w="108" w:type="dxa"/>
              <w:bottom w:w="57" w:type="dxa"/>
              <w:right w:w="108" w:type="dxa"/>
            </w:tcMar>
            <w:vAlign w:val="center"/>
          </w:tcPr>
          <w:p w14:paraId="3C55832E">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能自觉践行社会主义核心价值观，基于专业相关背景分析和评价专业活动对安全生产、绿色环保、法律法规以及行业文化的影响，并理解应承担的责任</w:t>
            </w:r>
          </w:p>
          <w:p w14:paraId="3796400C">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cs="宋体"/>
                <w:kern w:val="0"/>
              </w:rPr>
              <w:t>毛泽东思想和</w:t>
            </w:r>
            <w:r>
              <w:rPr>
                <w:rFonts w:ascii="宋体" w:hAnsi="宋体" w:eastAsia="宋体" w:cs="宋体"/>
                <w:kern w:val="0"/>
              </w:rPr>
              <w:t>中国</w:t>
            </w:r>
            <w:r>
              <w:rPr>
                <w:rFonts w:hint="eastAsia" w:ascii="宋体" w:hAnsi="宋体" w:eastAsia="宋体" w:cs="宋体"/>
                <w:kern w:val="0"/>
              </w:rPr>
              <w:t>特色</w:t>
            </w:r>
            <w:r>
              <w:rPr>
                <w:rFonts w:ascii="宋体" w:hAnsi="宋体" w:eastAsia="宋体" w:cs="宋体"/>
                <w:kern w:val="0"/>
              </w:rPr>
              <w:t>社会主</w:t>
            </w:r>
            <w:r>
              <w:rPr>
                <w:rFonts w:hint="eastAsia" w:ascii="宋体" w:hAnsi="宋体" w:eastAsia="宋体" w:cs="宋体"/>
                <w:kern w:val="0"/>
              </w:rPr>
              <w:t>义</w:t>
            </w:r>
            <w:r>
              <w:rPr>
                <w:rFonts w:ascii="宋体" w:hAnsi="宋体" w:eastAsia="宋体" w:cs="宋体"/>
                <w:kern w:val="0"/>
              </w:rPr>
              <w:t>理论体系概论</w:t>
            </w:r>
            <w:r>
              <w:rPr>
                <w:rFonts w:hint="eastAsia" w:ascii="宋体" w:hAnsi="宋体" w:eastAsia="宋体" w:cs="宋体"/>
                <w:kern w:val="0"/>
              </w:rPr>
              <w:t>课程成为培养社会主义核心价值主阵地</w:t>
            </w:r>
          </w:p>
          <w:p w14:paraId="1A23D903">
            <w:pPr>
              <w:adjustRightInd w:val="0"/>
              <w:snapToGrid w:val="0"/>
              <w:jc w:val="left"/>
              <w:rPr>
                <w:rFonts w:hint="eastAsia" w:ascii="楷体" w:hAnsi="楷体" w:eastAsia="楷体"/>
              </w:rPr>
            </w:pPr>
            <w:r>
              <w:rPr>
                <w:rFonts w:hint="eastAsia" w:ascii="楷体" w:hAnsi="楷体" w:eastAsia="楷体"/>
              </w:rPr>
              <w:t>具象2：</w:t>
            </w:r>
            <w:r>
              <w:rPr>
                <w:rFonts w:hint="eastAsia" w:ascii="宋体" w:hAnsi="宋体" w:eastAsia="宋体" w:cs="宋体"/>
                <w:kern w:val="0"/>
              </w:rPr>
              <w:t>思想道德与法治课程主业是法律法规意识培养主阵地</w:t>
            </w:r>
          </w:p>
          <w:p w14:paraId="6C491AF5">
            <w:pPr>
              <w:adjustRightInd w:val="0"/>
              <w:snapToGrid w:val="0"/>
              <w:jc w:val="left"/>
              <w:rPr>
                <w:rFonts w:hint="eastAsia" w:ascii="楷体" w:hAnsi="楷体" w:eastAsia="楷体"/>
              </w:rPr>
            </w:pPr>
            <w:r>
              <w:rPr>
                <w:rFonts w:hint="eastAsia" w:ascii="楷体" w:hAnsi="楷体" w:eastAsia="楷体"/>
              </w:rPr>
              <w:t>具象3：课程进实训场所必进行安全教学，设备安全操作规程上墙</w:t>
            </w:r>
          </w:p>
        </w:tc>
        <w:tc>
          <w:tcPr>
            <w:tcW w:w="4684" w:type="dxa"/>
            <w:tcMar>
              <w:top w:w="57" w:type="dxa"/>
              <w:left w:w="108" w:type="dxa"/>
              <w:bottom w:w="57" w:type="dxa"/>
              <w:right w:w="108" w:type="dxa"/>
            </w:tcMar>
            <w:vAlign w:val="center"/>
          </w:tcPr>
          <w:p w14:paraId="4B9C2529">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专业课程体系内外涉及的社会主义核心价值观引导、安全生产、绿色环保、法律法规以及行业文化的教学活动设计与实施记录材料；学生相应的学习成果汇总材料</w:t>
            </w:r>
          </w:p>
          <w:p w14:paraId="404A6EFC">
            <w:pPr>
              <w:adjustRightInd w:val="0"/>
              <w:snapToGrid w:val="0"/>
              <w:rPr>
                <w:rFonts w:hint="eastAsia" w:ascii="楷体" w:hAnsi="楷体" w:eastAsia="楷体" w:cs="宋体"/>
                <w:color w:val="EE0000"/>
                <w:kern w:val="0"/>
              </w:rPr>
            </w:pPr>
            <w:r>
              <w:rPr>
                <w:rFonts w:hint="eastAsia" w:ascii="楷体" w:hAnsi="楷体" w:eastAsia="楷体"/>
                <w:color w:val="000000"/>
                <w:kern w:val="0"/>
              </w:rPr>
              <w:t>具象1：</w:t>
            </w:r>
            <w:r>
              <w:rPr>
                <w:rFonts w:hint="eastAsia" w:ascii="宋体" w:hAnsi="宋体" w:eastAsia="宋体" w:cs="宋体"/>
                <w:kern w:val="0"/>
              </w:rPr>
              <w:t>毛泽东思想和</w:t>
            </w:r>
            <w:r>
              <w:rPr>
                <w:rFonts w:ascii="宋体" w:hAnsi="宋体" w:eastAsia="宋体" w:cs="宋体"/>
                <w:kern w:val="0"/>
              </w:rPr>
              <w:t>中国</w:t>
            </w:r>
            <w:r>
              <w:rPr>
                <w:rFonts w:hint="eastAsia" w:ascii="宋体" w:hAnsi="宋体" w:eastAsia="宋体" w:cs="宋体"/>
                <w:kern w:val="0"/>
              </w:rPr>
              <w:t>特色</w:t>
            </w:r>
            <w:r>
              <w:rPr>
                <w:rFonts w:ascii="宋体" w:hAnsi="宋体" w:eastAsia="宋体" w:cs="宋体"/>
                <w:kern w:val="0"/>
              </w:rPr>
              <w:t>社会主</w:t>
            </w:r>
            <w:r>
              <w:rPr>
                <w:rFonts w:hint="eastAsia" w:ascii="宋体" w:hAnsi="宋体" w:eastAsia="宋体" w:cs="宋体"/>
                <w:kern w:val="0"/>
              </w:rPr>
              <w:t>义</w:t>
            </w:r>
            <w:r>
              <w:rPr>
                <w:rFonts w:ascii="宋体" w:hAnsi="宋体" w:eastAsia="宋体" w:cs="宋体"/>
                <w:kern w:val="0"/>
              </w:rPr>
              <w:t>理论体系概论</w:t>
            </w:r>
            <w:r>
              <w:rPr>
                <w:rFonts w:hint="eastAsia" w:ascii="宋体" w:hAnsi="宋体" w:eastAsia="宋体" w:cs="宋体"/>
                <w:kern w:val="0"/>
              </w:rPr>
              <w:t>课程关于社会主义核心价值观内容的教学日志（智慧教务平台）</w:t>
            </w:r>
          </w:p>
          <w:p w14:paraId="02909244">
            <w:pPr>
              <w:adjustRightInd w:val="0"/>
              <w:snapToGrid w:val="0"/>
              <w:rPr>
                <w:rFonts w:hint="eastAsia" w:ascii="楷体" w:hAnsi="楷体" w:eastAsia="楷体" w:cs="宋体"/>
                <w:kern w:val="0"/>
              </w:rPr>
            </w:pPr>
            <w:r>
              <w:rPr>
                <w:rFonts w:hint="eastAsia" w:ascii="楷体" w:hAnsi="楷体" w:eastAsia="楷体" w:cs="宋体"/>
                <w:kern w:val="0"/>
              </w:rPr>
              <w:t>具象2：</w:t>
            </w:r>
            <w:r>
              <w:rPr>
                <w:rFonts w:hint="eastAsia" w:ascii="宋体" w:hAnsi="宋体" w:eastAsia="宋体" w:cs="宋体"/>
                <w:kern w:val="0"/>
              </w:rPr>
              <w:t>思想道德修养与法治课程关于法律法规内容的教学日志（智慧教务平台）</w:t>
            </w:r>
          </w:p>
          <w:p w14:paraId="7F47F093">
            <w:pPr>
              <w:adjustRightInd w:val="0"/>
              <w:snapToGrid w:val="0"/>
              <w:rPr>
                <w:rFonts w:hint="eastAsia" w:ascii="宋体" w:hAnsi="宋体" w:eastAsia="宋体" w:cs="宋体"/>
                <w:kern w:val="0"/>
              </w:rPr>
            </w:pPr>
            <w:r>
              <w:rPr>
                <w:rFonts w:hint="eastAsia" w:ascii="楷体" w:hAnsi="楷体" w:eastAsia="楷体" w:cs="宋体"/>
                <w:kern w:val="0"/>
              </w:rPr>
              <w:t>具像3：</w:t>
            </w:r>
            <w:r>
              <w:rPr>
                <w:rFonts w:hint="eastAsia" w:ascii="宋体" w:hAnsi="宋体" w:eastAsia="宋体" w:cs="宋体"/>
                <w:kern w:val="0"/>
              </w:rPr>
              <w:t>模具专业进入实训场所安全教育记录表（机械学院教学存档资料），现场设备安全操作规程上墙（现场走访）</w:t>
            </w:r>
          </w:p>
          <w:p w14:paraId="05E52840">
            <w:pPr>
              <w:adjustRightInd w:val="0"/>
              <w:snapToGrid w:val="0"/>
              <w:rPr>
                <w:rFonts w:hint="eastAsia" w:ascii="楷体" w:hAnsi="楷体" w:eastAsia="楷体" w:cs="宋体"/>
                <w:color w:val="000000"/>
                <w:kern w:val="0"/>
              </w:rPr>
            </w:pPr>
            <w:r>
              <w:rPr>
                <w:rFonts w:hint="eastAsia" w:ascii="楷体" w:hAnsi="楷体" w:eastAsia="楷体" w:cs="宋体"/>
                <w:kern w:val="0"/>
              </w:rPr>
              <w:t>具像4：</w:t>
            </w:r>
            <w:r>
              <w:rPr>
                <w:rFonts w:hint="eastAsia" w:ascii="宋体" w:hAnsi="宋体" w:eastAsia="宋体" w:cs="宋体"/>
                <w:color w:val="000000"/>
                <w:kern w:val="0"/>
              </w:rPr>
              <w:t>2023年、2024年、2025年学生实习实训零安全事故</w:t>
            </w:r>
          </w:p>
        </w:tc>
      </w:tr>
      <w:tr w14:paraId="2BD0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69923127">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28749663">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1BBA190D">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r>
              <w:rPr>
                <w:rFonts w:hint="eastAsia" w:ascii="楷体" w:hAnsi="楷体" w:eastAsia="楷体" w:cs="宋体"/>
                <w:color w:val="000000" w:themeColor="text1"/>
                <w:kern w:val="0"/>
                <w14:textFill>
                  <w14:solidFill>
                    <w14:schemeClr w14:val="tx1"/>
                  </w14:solidFill>
                </w14:textFill>
              </w:rPr>
              <w:t>（绿色环保和行业文化是可选项，不是该专业重点，可略）</w:t>
            </w:r>
          </w:p>
          <w:p w14:paraId="4D5FCD55">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采信情况：现场查阅到</w:t>
            </w:r>
            <w:r>
              <w:rPr>
                <w:rFonts w:hint="eastAsia" w:ascii="楷体" w:hAnsi="楷体" w:eastAsia="楷体" w:cs="宋体"/>
                <w:kern w:val="0"/>
              </w:rPr>
              <w:t>具象1—具象3</w:t>
            </w:r>
            <w:r>
              <w:rPr>
                <w:rFonts w:hint="eastAsia" w:ascii="楷体" w:hAnsi="楷体" w:eastAsia="楷体" w:cs="宋体"/>
                <w:color w:val="000000"/>
                <w:kern w:val="0"/>
              </w:rPr>
              <w:t>的原始教学过程及学生成果材料，采信</w:t>
            </w:r>
          </w:p>
          <w:p w14:paraId="6F5505E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101C8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70788CBD">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5BBC1F80">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3.7职业规范</w:t>
            </w:r>
          </w:p>
        </w:tc>
        <w:tc>
          <w:tcPr>
            <w:tcW w:w="2976" w:type="dxa"/>
            <w:tcMar>
              <w:top w:w="57" w:type="dxa"/>
              <w:left w:w="108" w:type="dxa"/>
              <w:bottom w:w="57" w:type="dxa"/>
              <w:right w:w="108" w:type="dxa"/>
            </w:tcMar>
            <w:vAlign w:val="center"/>
          </w:tcPr>
          <w:p w14:paraId="5B11609E">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能理解并遵守职业道德和机械行业工作规范，自觉履行岗位职责</w:t>
            </w:r>
          </w:p>
          <w:p w14:paraId="44B4758C">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本专业各课程标准将考勤列为成绩考核指标以等效培养职场中准时上下班的职业规范</w:t>
            </w:r>
          </w:p>
          <w:p w14:paraId="5A0E6821">
            <w:pPr>
              <w:adjustRightInd w:val="0"/>
              <w:snapToGrid w:val="0"/>
              <w:jc w:val="left"/>
              <w:rPr>
                <w:rFonts w:hint="eastAsia" w:ascii="宋体" w:hAnsi="宋体" w:eastAsia="宋体"/>
              </w:rPr>
            </w:pPr>
            <w:r>
              <w:rPr>
                <w:rFonts w:hint="eastAsia" w:ascii="楷体" w:hAnsi="楷体" w:eastAsia="楷体"/>
              </w:rPr>
              <w:t>具象2：</w:t>
            </w:r>
            <w:r>
              <w:rPr>
                <w:rFonts w:hint="eastAsia" w:ascii="宋体" w:hAnsi="宋体" w:eastAsia="宋体"/>
              </w:rPr>
              <w:t>本专业各课程严格作假作弊检查以等效培养职场中不作假不作弊的职业道德</w:t>
            </w:r>
          </w:p>
          <w:p w14:paraId="75BDA5E2">
            <w:pPr>
              <w:adjustRightInd w:val="0"/>
              <w:snapToGrid w:val="0"/>
              <w:jc w:val="left"/>
              <w:rPr>
                <w:rFonts w:hint="eastAsia" w:ascii="楷体" w:hAnsi="楷体" w:eastAsia="楷体" w:cs="宋体"/>
                <w:color w:val="000000"/>
                <w:kern w:val="0"/>
              </w:rPr>
            </w:pPr>
            <w:r>
              <w:rPr>
                <w:rFonts w:hint="eastAsia" w:ascii="楷体" w:hAnsi="楷体" w:eastAsia="楷体"/>
              </w:rPr>
              <w:t>具象3：</w:t>
            </w:r>
            <w:r>
              <w:rPr>
                <w:rFonts w:hint="eastAsia" w:ascii="宋体" w:hAnsi="宋体" w:eastAsia="宋体"/>
              </w:rPr>
              <w:t>本专业钳工实训、数控铣床操作实训、电加工实训3门课程以执行5S标准为培养学生遵守工作规范行为的重点</w:t>
            </w:r>
          </w:p>
        </w:tc>
        <w:tc>
          <w:tcPr>
            <w:tcW w:w="4684" w:type="dxa"/>
            <w:tcMar>
              <w:top w:w="57" w:type="dxa"/>
              <w:left w:w="108" w:type="dxa"/>
              <w:bottom w:w="57" w:type="dxa"/>
              <w:right w:w="108" w:type="dxa"/>
            </w:tcMar>
            <w:vAlign w:val="center"/>
          </w:tcPr>
          <w:p w14:paraId="0791BE86">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专业课程体系内外教学活动中所涉及的职业言行规范、流程规范、工作纪律、标准执行、5S生产现场管理等教学活动设计与实施情况过程性汇总材料；学生习得职业规范的学习成果汇总材料</w:t>
            </w:r>
          </w:p>
          <w:p w14:paraId="7D46D20C">
            <w:pPr>
              <w:adjustRightInd w:val="0"/>
              <w:snapToGrid w:val="0"/>
              <w:rPr>
                <w:rFonts w:hint="eastAsia" w:ascii="宋体" w:hAnsi="宋体" w:eastAsia="宋体"/>
                <w:kern w:val="0"/>
              </w:rPr>
            </w:pPr>
            <w:r>
              <w:rPr>
                <w:rFonts w:hint="eastAsia" w:ascii="楷体" w:hAnsi="楷体" w:eastAsia="楷体"/>
                <w:color w:val="000000"/>
                <w:kern w:val="0"/>
              </w:rPr>
              <w:t>具象1：</w:t>
            </w:r>
            <w:r>
              <w:rPr>
                <w:rFonts w:hint="eastAsia" w:ascii="宋体" w:hAnsi="宋体" w:eastAsia="宋体"/>
                <w:kern w:val="0"/>
              </w:rPr>
              <w:t>课程考勤记录（现场提供机械工程学院教学归档资料）</w:t>
            </w:r>
          </w:p>
          <w:p w14:paraId="20F51F7B">
            <w:pPr>
              <w:adjustRightInd w:val="0"/>
              <w:snapToGrid w:val="0"/>
              <w:rPr>
                <w:rFonts w:hint="eastAsia" w:ascii="楷体" w:hAnsi="楷体" w:eastAsia="楷体" w:cs="宋体"/>
                <w:color w:val="EE0000"/>
                <w:kern w:val="0"/>
              </w:rPr>
            </w:pPr>
            <w:r>
              <w:rPr>
                <w:rFonts w:hint="eastAsia" w:ascii="楷体" w:hAnsi="楷体" w:eastAsia="楷体"/>
                <w:color w:val="000000"/>
                <w:kern w:val="0"/>
              </w:rPr>
              <w:t>具象2：</w:t>
            </w:r>
            <w:r>
              <w:rPr>
                <w:rFonts w:hint="eastAsia" w:ascii="宋体" w:hAnsi="宋体" w:eastAsia="宋体" w:cs="宋体"/>
                <w:kern w:val="0"/>
              </w:rPr>
              <w:t>2023年、2024年、2025年本专业因作弊受处理学生清单（共有1人因作弊受到处分）</w:t>
            </w:r>
          </w:p>
          <w:p w14:paraId="76C574BE">
            <w:pPr>
              <w:adjustRightInd w:val="0"/>
              <w:snapToGrid w:val="0"/>
              <w:rPr>
                <w:rFonts w:hint="eastAsia" w:ascii="楷体" w:hAnsi="楷体" w:eastAsia="楷体" w:cs="宋体"/>
                <w:color w:val="000000"/>
                <w:kern w:val="0"/>
              </w:rPr>
            </w:pPr>
            <w:r>
              <w:rPr>
                <w:rFonts w:hint="eastAsia" w:ascii="楷体" w:hAnsi="楷体" w:eastAsia="楷体" w:cs="宋体"/>
                <w:kern w:val="0"/>
              </w:rPr>
              <w:t>具象3：</w:t>
            </w:r>
            <w:r>
              <w:rPr>
                <w:rFonts w:hint="eastAsia" w:ascii="宋体" w:hAnsi="宋体" w:eastAsia="宋体"/>
              </w:rPr>
              <w:t>钳工实训、数控铣床操作实训、电加工实训3门课程日常5S考核记录</w:t>
            </w:r>
            <w:r>
              <w:rPr>
                <w:rFonts w:hint="eastAsia" w:ascii="宋体" w:hAnsi="宋体" w:eastAsia="宋体"/>
                <w:kern w:val="0"/>
              </w:rPr>
              <w:t>（现场提供机械工程学院教学归档资料）</w:t>
            </w:r>
          </w:p>
        </w:tc>
      </w:tr>
      <w:tr w14:paraId="3562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324D4879">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59E22751">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540B34B4">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4CF1B4E8">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采信情况：现场查阅</w:t>
            </w:r>
            <w:r>
              <w:rPr>
                <w:rFonts w:hint="eastAsia" w:ascii="楷体" w:hAnsi="楷体" w:eastAsia="楷体" w:cs="宋体"/>
                <w:kern w:val="0"/>
              </w:rPr>
              <w:t>到具象1、具象2、具象3</w:t>
            </w:r>
            <w:r>
              <w:rPr>
                <w:rFonts w:hint="eastAsia" w:ascii="楷体" w:hAnsi="楷体" w:eastAsia="楷体" w:cs="宋体"/>
                <w:color w:val="000000"/>
                <w:kern w:val="0"/>
              </w:rPr>
              <w:t>的原始教学过程及学生成果材料，采信</w:t>
            </w:r>
          </w:p>
          <w:p w14:paraId="6FB6081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6267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116F319F">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71CF4E2A">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3.8合作交流</w:t>
            </w:r>
          </w:p>
        </w:tc>
        <w:tc>
          <w:tcPr>
            <w:tcW w:w="2976" w:type="dxa"/>
            <w:tcMar>
              <w:top w:w="57" w:type="dxa"/>
              <w:left w:w="108" w:type="dxa"/>
              <w:bottom w:w="57" w:type="dxa"/>
              <w:right w:w="108" w:type="dxa"/>
            </w:tcMar>
            <w:vAlign w:val="center"/>
          </w:tcPr>
          <w:p w14:paraId="38F6A44F">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能在专业工作项目中胜任团队成员或负责人职责；能在专业活动领域与具有不同文化背景的合作伙伴进行有效沟通与协作</w:t>
            </w:r>
          </w:p>
          <w:p w14:paraId="690A38B3">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在</w:t>
            </w:r>
            <w:r>
              <w:rPr>
                <w:rFonts w:ascii="宋体" w:hAnsi="宋体" w:eastAsia="宋体"/>
              </w:rPr>
              <w:t>增材制造技术与应用</w:t>
            </w:r>
            <w:r>
              <w:rPr>
                <w:rFonts w:hint="eastAsia" w:ascii="宋体" w:hAnsi="宋体" w:eastAsia="宋体"/>
              </w:rPr>
              <w:t>、机械类专业定岗实习课程中设置有团队合作项目</w:t>
            </w:r>
          </w:p>
          <w:p w14:paraId="482E083D">
            <w:pPr>
              <w:adjustRightInd w:val="0"/>
              <w:snapToGrid w:val="0"/>
              <w:jc w:val="left"/>
              <w:rPr>
                <w:rFonts w:hint="eastAsia" w:ascii="楷体" w:hAnsi="楷体" w:eastAsia="楷体"/>
              </w:rPr>
            </w:pPr>
            <w:r>
              <w:rPr>
                <w:rFonts w:hint="eastAsia" w:ascii="楷体" w:hAnsi="楷体" w:eastAsia="楷体"/>
              </w:rPr>
              <w:t>具象2：</w:t>
            </w:r>
            <w:r>
              <w:rPr>
                <w:rFonts w:hint="eastAsia" w:ascii="宋体" w:hAnsi="宋体" w:eastAsia="宋体"/>
              </w:rPr>
              <w:t>以学生个体交流发言为载体（涉及项目开展中的角色和与人协作内容）培养合作交流能力</w:t>
            </w:r>
          </w:p>
        </w:tc>
        <w:tc>
          <w:tcPr>
            <w:tcW w:w="4684" w:type="dxa"/>
            <w:tcMar>
              <w:top w:w="57" w:type="dxa"/>
              <w:left w:w="108" w:type="dxa"/>
              <w:bottom w:w="57" w:type="dxa"/>
              <w:right w:w="108" w:type="dxa"/>
            </w:tcMar>
            <w:vAlign w:val="center"/>
          </w:tcPr>
          <w:p w14:paraId="28FEE481">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专业课程体系内外涉及合作交流的教学活动设计与实施记录汇总材料；学生习得的合作交流学习成果的汇总材料</w:t>
            </w:r>
          </w:p>
          <w:p w14:paraId="5590E242">
            <w:pPr>
              <w:adjustRightInd w:val="0"/>
              <w:snapToGrid w:val="0"/>
              <w:rPr>
                <w:rFonts w:hint="eastAsia" w:ascii="宋体" w:hAnsi="宋体" w:eastAsia="宋体"/>
              </w:rPr>
            </w:pPr>
            <w:r>
              <w:rPr>
                <w:rFonts w:hint="eastAsia" w:ascii="楷体" w:hAnsi="楷体" w:eastAsia="楷体"/>
              </w:rPr>
              <w:t>具象1：</w:t>
            </w:r>
            <w:r>
              <w:rPr>
                <w:rFonts w:ascii="宋体" w:hAnsi="宋体" w:eastAsia="宋体"/>
              </w:rPr>
              <w:t>增材制造技术与应用</w:t>
            </w:r>
            <w:r>
              <w:rPr>
                <w:rFonts w:hint="eastAsia" w:ascii="宋体" w:hAnsi="宋体" w:eastAsia="宋体"/>
              </w:rPr>
              <w:t>、机械类专业定岗实习课程团队合作项目教学过程记录（智慧教务平台中的教学日志）</w:t>
            </w:r>
          </w:p>
          <w:p w14:paraId="3244DD10">
            <w:pPr>
              <w:adjustRightInd w:val="0"/>
              <w:snapToGrid w:val="0"/>
              <w:rPr>
                <w:rFonts w:hint="eastAsia" w:ascii="宋体" w:hAnsi="宋体" w:eastAsia="宋体"/>
              </w:rPr>
            </w:pPr>
            <w:r>
              <w:rPr>
                <w:rFonts w:hint="eastAsia" w:ascii="楷体" w:hAnsi="楷体" w:eastAsia="楷体"/>
              </w:rPr>
              <w:t>具象2：</w:t>
            </w:r>
            <w:r>
              <w:rPr>
                <w:rFonts w:hint="eastAsia" w:ascii="宋体" w:hAnsi="宋体" w:eastAsia="宋体"/>
              </w:rPr>
              <w:t>学生个体提交的交流发言文稿、PPT、5分钟的自制发言视频</w:t>
            </w:r>
          </w:p>
          <w:p w14:paraId="16E1758C">
            <w:pPr>
              <w:adjustRightInd w:val="0"/>
              <w:snapToGrid w:val="0"/>
              <w:rPr>
                <w:rFonts w:hint="eastAsia" w:ascii="楷体" w:hAnsi="楷体" w:eastAsia="楷体" w:cs="宋体"/>
                <w:color w:val="000000"/>
                <w:kern w:val="0"/>
              </w:rPr>
            </w:pPr>
            <w:r>
              <w:rPr>
                <w:rFonts w:hint="eastAsia" w:ascii="楷体" w:hAnsi="楷体" w:eastAsia="楷体"/>
              </w:rPr>
              <w:t>具象3：</w:t>
            </w:r>
            <w:r>
              <w:rPr>
                <w:rFonts w:ascii="宋体" w:hAnsi="宋体" w:eastAsia="宋体"/>
              </w:rPr>
              <w:t>增材制造技术与应用</w:t>
            </w:r>
            <w:r>
              <w:rPr>
                <w:rFonts w:hint="eastAsia" w:ascii="宋体" w:hAnsi="宋体" w:eastAsia="宋体"/>
              </w:rPr>
              <w:t>、机械类专业定岗实习课程2023年、2024年、2025年个人交流发言评价成绩汇总</w:t>
            </w:r>
          </w:p>
        </w:tc>
      </w:tr>
      <w:tr w14:paraId="217E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2E41A8E1">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27F87B29">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符合</w:t>
            </w:r>
          </w:p>
        </w:tc>
        <w:tc>
          <w:tcPr>
            <w:tcW w:w="4684" w:type="dxa"/>
            <w:tcMar>
              <w:top w:w="57" w:type="dxa"/>
              <w:left w:w="108" w:type="dxa"/>
              <w:bottom w:w="57" w:type="dxa"/>
              <w:right w:w="108" w:type="dxa"/>
            </w:tcMar>
            <w:vAlign w:val="center"/>
          </w:tcPr>
          <w:p w14:paraId="029988F3">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57277677">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采信情况：现场查阅到</w:t>
            </w:r>
            <w:r>
              <w:rPr>
                <w:rFonts w:hint="eastAsia" w:ascii="楷体" w:hAnsi="楷体" w:eastAsia="楷体" w:cs="宋体"/>
                <w:kern w:val="0"/>
              </w:rPr>
              <w:t>具象1—具象3</w:t>
            </w:r>
            <w:r>
              <w:rPr>
                <w:rFonts w:hint="eastAsia" w:ascii="楷体" w:hAnsi="楷体" w:eastAsia="楷体" w:cs="宋体"/>
                <w:color w:val="000000"/>
                <w:kern w:val="0"/>
              </w:rPr>
              <w:t>的原始教学过程及学生成果材料，采信</w:t>
            </w:r>
          </w:p>
          <w:p w14:paraId="1FF8A92C">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668D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17272F4E">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554E856C">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3.9终身学习</w:t>
            </w:r>
          </w:p>
        </w:tc>
        <w:tc>
          <w:tcPr>
            <w:tcW w:w="2976" w:type="dxa"/>
            <w:tcMar>
              <w:top w:w="57" w:type="dxa"/>
              <w:left w:w="108" w:type="dxa"/>
              <w:bottom w:w="57" w:type="dxa"/>
              <w:right w:w="108" w:type="dxa"/>
            </w:tcMar>
            <w:vAlign w:val="center"/>
          </w:tcPr>
          <w:p w14:paraId="40616204">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有自主学习和终身学习的意识和能力</w:t>
            </w:r>
          </w:p>
          <w:p w14:paraId="72FA0EDD">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学生展现较强自主学习意识，高频利用学校学习资源，保证充足课外自主学习时间，主动规划学习进程</w:t>
            </w:r>
          </w:p>
          <w:p w14:paraId="7E192533">
            <w:pPr>
              <w:adjustRightInd w:val="0"/>
              <w:snapToGrid w:val="0"/>
              <w:jc w:val="left"/>
              <w:rPr>
                <w:rFonts w:hint="eastAsia" w:ascii="楷体" w:hAnsi="楷体" w:eastAsia="楷体" w:cs="宋体"/>
                <w:color w:val="000000"/>
                <w:kern w:val="0"/>
              </w:rPr>
            </w:pPr>
            <w:r>
              <w:rPr>
                <w:rFonts w:hint="eastAsia" w:ascii="楷体" w:hAnsi="楷体" w:eastAsia="楷体"/>
              </w:rPr>
              <w:t>具象2：</w:t>
            </w:r>
            <w:r>
              <w:rPr>
                <w:rFonts w:hint="eastAsia" w:ascii="宋体" w:hAnsi="宋体" w:eastAsia="宋体"/>
              </w:rPr>
              <w:t>学生需具备良好自主学习与终身学习能力，严格执行学习计划、灵活调整学习策略，清晰规划职业发展</w:t>
            </w:r>
          </w:p>
        </w:tc>
        <w:tc>
          <w:tcPr>
            <w:tcW w:w="4684" w:type="dxa"/>
            <w:tcMar>
              <w:top w:w="57" w:type="dxa"/>
              <w:left w:w="108" w:type="dxa"/>
              <w:bottom w:w="57" w:type="dxa"/>
              <w:right w:w="108" w:type="dxa"/>
            </w:tcMar>
            <w:vAlign w:val="center"/>
          </w:tcPr>
          <w:p w14:paraId="25B50B8B">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专业课程体系内外涉及自主学习和终身学习项目汇总材料；学生自主学习和终身学习成果汇总材料</w:t>
            </w:r>
          </w:p>
          <w:p w14:paraId="2D888A45">
            <w:pPr>
              <w:adjustRightInd w:val="0"/>
              <w:snapToGrid w:val="0"/>
              <w:rPr>
                <w:rFonts w:hint="eastAsia" w:ascii="楷体" w:hAnsi="楷体" w:eastAsia="楷体"/>
              </w:rPr>
            </w:pPr>
            <w:r>
              <w:rPr>
                <w:rFonts w:hint="eastAsia" w:ascii="楷体" w:hAnsi="楷体" w:eastAsia="楷体"/>
              </w:rPr>
              <w:t>具象1：在课程模具设计中设自主学习章节、布置任务并提供指导</w:t>
            </w:r>
          </w:p>
          <w:p w14:paraId="6A2D4A70">
            <w:pPr>
              <w:adjustRightInd w:val="0"/>
              <w:snapToGrid w:val="0"/>
              <w:rPr>
                <w:rFonts w:hint="eastAsia" w:ascii="楷体" w:hAnsi="楷体" w:eastAsia="楷体" w:cs="宋体"/>
                <w:color w:val="000000"/>
                <w:kern w:val="0"/>
              </w:rPr>
            </w:pPr>
            <w:r>
              <w:rPr>
                <w:rFonts w:hint="eastAsia" w:ascii="楷体" w:hAnsi="楷体" w:eastAsia="楷体"/>
              </w:rPr>
              <w:t>具象2：该专业学生通过自主学习收获显著成果，彰显出专业在培养学生自主与终身学习能力上的成效</w:t>
            </w:r>
          </w:p>
        </w:tc>
      </w:tr>
      <w:tr w14:paraId="06523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5FA32F62">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25DB339">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w:t>
            </w:r>
            <w:r>
              <w:rPr>
                <w:rFonts w:hint="eastAsia" w:ascii="楷体" w:hAnsi="楷体" w:eastAsia="楷体" w:cs="宋体"/>
                <w:kern w:val="0"/>
              </w:rPr>
              <w:t>具象不具化，教学载体不确切，与基准符合度不够</w:t>
            </w:r>
          </w:p>
        </w:tc>
        <w:tc>
          <w:tcPr>
            <w:tcW w:w="4684" w:type="dxa"/>
            <w:tcMar>
              <w:top w:w="57" w:type="dxa"/>
              <w:left w:w="108" w:type="dxa"/>
              <w:bottom w:w="57" w:type="dxa"/>
              <w:right w:w="108" w:type="dxa"/>
            </w:tcMar>
            <w:vAlign w:val="center"/>
          </w:tcPr>
          <w:p w14:paraId="2FB14569">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具象与依据：具象不具化</w:t>
            </w:r>
          </w:p>
          <w:p w14:paraId="3EC08D5C">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采信情况：依据无证实作用，不采信</w:t>
            </w:r>
          </w:p>
          <w:p w14:paraId="7BFBCF72">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hint="eastAsia" w:ascii="楷体" w:hAnsi="楷体" w:eastAsia="楷体" w:cs="宋体"/>
                <w:kern w:val="0"/>
              </w:rPr>
              <w:t>C</w:t>
            </w:r>
          </w:p>
        </w:tc>
      </w:tr>
      <w:tr w14:paraId="63519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1C263941">
            <w:pPr>
              <w:adjustRightInd w:val="0"/>
              <w:snapToGrid w:val="0"/>
              <w:ind w:firstLine="0" w:firstLineChars="0"/>
              <w:jc w:val="left"/>
              <w:rPr>
                <w:rFonts w:hint="eastAsia" w:ascii="宋体" w:hAnsi="宋体" w:eastAsia="宋体" w:cs="宋体"/>
                <w:color w:val="000000"/>
                <w:kern w:val="0"/>
              </w:rPr>
            </w:pPr>
            <w:r>
              <w:rPr>
                <w:rFonts w:ascii="宋体" w:hAnsi="宋体" w:eastAsia="宋体"/>
              </w:rPr>
              <w:t>4</w:t>
            </w:r>
            <w:r>
              <w:rPr>
                <w:rFonts w:hint="eastAsia" w:ascii="宋体" w:hAnsi="宋体" w:eastAsia="宋体"/>
              </w:rPr>
              <w:t>课程体系</w:t>
            </w:r>
          </w:p>
        </w:tc>
        <w:tc>
          <w:tcPr>
            <w:tcW w:w="1261" w:type="dxa"/>
            <w:tcMar>
              <w:top w:w="57" w:type="dxa"/>
              <w:left w:w="108" w:type="dxa"/>
              <w:bottom w:w="57" w:type="dxa"/>
              <w:right w:w="108" w:type="dxa"/>
            </w:tcMar>
            <w:vAlign w:val="center"/>
          </w:tcPr>
          <w:p w14:paraId="016F2E1C">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4.1课程设置</w:t>
            </w:r>
          </w:p>
        </w:tc>
        <w:tc>
          <w:tcPr>
            <w:tcW w:w="2976" w:type="dxa"/>
            <w:tcMar>
              <w:top w:w="57" w:type="dxa"/>
              <w:left w:w="108" w:type="dxa"/>
              <w:bottom w:w="57" w:type="dxa"/>
              <w:right w:w="108" w:type="dxa"/>
            </w:tcMar>
            <w:vAlign w:val="center"/>
          </w:tcPr>
          <w:p w14:paraId="2148A431">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有课程建设相关制度，课程设置有行业、企业专家参与；有针对不同生源的差异化专业课程体系，课程体系能有效支撑毕业要求；三年制专科专业总学时不少于教育部专业教学标准的规定，选修课学时数占总学时的比例不少于10%</w:t>
            </w:r>
          </w:p>
          <w:p w14:paraId="7ACFB23B">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学校发布</w:t>
            </w:r>
            <w:r>
              <w:rPr>
                <w:rFonts w:hint="eastAsia" w:ascii="宋体" w:hAnsi="宋体" w:eastAsia="宋体" w:cs="宋体"/>
                <w:color w:val="000000"/>
                <w:kern w:val="0"/>
              </w:rPr>
              <w:t>2023年、2024年、2025年</w:t>
            </w:r>
            <w:r>
              <w:rPr>
                <w:rFonts w:ascii="宋体" w:hAnsi="宋体" w:eastAsia="宋体"/>
              </w:rPr>
              <w:t>关于修定高职专业人才培养方案的原则意见</w:t>
            </w:r>
            <w:r>
              <w:rPr>
                <w:rFonts w:hint="eastAsia" w:ascii="宋体" w:hAnsi="宋体" w:eastAsia="宋体"/>
              </w:rPr>
              <w:t>；2025年学校新发布无锡职业技术大学课程与教材建设实施方案</w:t>
            </w:r>
          </w:p>
          <w:p w14:paraId="0CF58340">
            <w:pPr>
              <w:adjustRightInd w:val="0"/>
              <w:snapToGrid w:val="0"/>
              <w:jc w:val="left"/>
              <w:rPr>
                <w:rFonts w:hint="eastAsia" w:ascii="宋体" w:hAnsi="宋体" w:eastAsia="宋体"/>
              </w:rPr>
            </w:pPr>
            <w:r>
              <w:rPr>
                <w:rFonts w:hint="eastAsia" w:ascii="楷体" w:hAnsi="楷体" w:eastAsia="楷体"/>
              </w:rPr>
              <w:t>具象2：</w:t>
            </w:r>
            <w:r>
              <w:rPr>
                <w:rFonts w:hint="eastAsia" w:ascii="宋体" w:hAnsi="宋体" w:eastAsia="宋体"/>
              </w:rPr>
              <w:t>本专业</w:t>
            </w:r>
            <w:r>
              <w:rPr>
                <w:rFonts w:hint="eastAsia" w:ascii="宋体" w:hAnsi="宋体" w:eastAsia="宋体" w:cs="宋体"/>
                <w:color w:val="000000"/>
                <w:kern w:val="0"/>
              </w:rPr>
              <w:t>2023年、2024年、2025年</w:t>
            </w:r>
            <w:r>
              <w:rPr>
                <w:rFonts w:hint="eastAsia" w:ascii="宋体" w:hAnsi="宋体" w:eastAsia="宋体"/>
              </w:rPr>
              <w:t>邀请企业专家参与，制定了中职生源和高中生源两种有差异的课程体系</w:t>
            </w:r>
          </w:p>
          <w:p w14:paraId="41B8E938">
            <w:pPr>
              <w:adjustRightInd w:val="0"/>
              <w:snapToGrid w:val="0"/>
              <w:jc w:val="left"/>
              <w:rPr>
                <w:rFonts w:hint="eastAsia" w:ascii="宋体" w:hAnsi="宋体" w:eastAsia="宋体" w:cs="宋体"/>
                <w:color w:val="000000"/>
                <w:kern w:val="0"/>
              </w:rPr>
            </w:pPr>
            <w:r>
              <w:rPr>
                <w:rFonts w:hint="eastAsia" w:ascii="楷体" w:hAnsi="楷体" w:eastAsia="楷体"/>
              </w:rPr>
              <w:t>具象3：</w:t>
            </w:r>
            <w:r>
              <w:rPr>
                <w:rFonts w:hint="eastAsia" w:ascii="宋体" w:hAnsi="宋体" w:eastAsia="宋体" w:cs="宋体"/>
                <w:color w:val="000000"/>
                <w:kern w:val="0"/>
              </w:rPr>
              <w:t>2023年、2024年、2025年本专业人才培养方案总学时达到教育部专业教学标准2750总学时的要求</w:t>
            </w:r>
          </w:p>
          <w:p w14:paraId="6DD7E14F">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具象4：</w:t>
            </w:r>
            <w:r>
              <w:rPr>
                <w:rFonts w:hint="eastAsia" w:ascii="宋体" w:hAnsi="宋体" w:eastAsia="宋体" w:cs="宋体"/>
                <w:color w:val="000000"/>
                <w:kern w:val="0"/>
              </w:rPr>
              <w:t>2023年、2024年、2025年本专业人才培养方案选修课对总学时占比要求都达到10%以上</w:t>
            </w:r>
          </w:p>
        </w:tc>
        <w:tc>
          <w:tcPr>
            <w:tcW w:w="4684" w:type="dxa"/>
            <w:tcMar>
              <w:top w:w="57" w:type="dxa"/>
              <w:left w:w="108" w:type="dxa"/>
              <w:bottom w:w="57" w:type="dxa"/>
              <w:right w:w="108" w:type="dxa"/>
            </w:tcMar>
            <w:vAlign w:val="center"/>
          </w:tcPr>
          <w:p w14:paraId="0DEB76FC">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课程建设相关制度及执行情况记录，课程标准、课程建设成果汇总材料；近三年行业、企业专家对专业课程设置的意见与建议，专业采纳情况的说明；针对不同生源的课程设置说明材料，课程体系与毕业要求的支撑关系说明材料；开设国家安全教育、创新创业教育、美育以及人文素养教育等选修课的材料，三年制高职专业总学时，选修课学时数占总学时的比例的审核结果文件</w:t>
            </w:r>
          </w:p>
          <w:p w14:paraId="1D404896">
            <w:pPr>
              <w:adjustRightInd w:val="0"/>
              <w:snapToGrid w:val="0"/>
              <w:rPr>
                <w:rFonts w:hint="eastAsia" w:ascii="宋体" w:hAnsi="宋体" w:eastAsia="宋体"/>
              </w:rPr>
            </w:pPr>
            <w:r>
              <w:rPr>
                <w:rFonts w:hint="eastAsia" w:ascii="楷体" w:hAnsi="楷体" w:eastAsia="楷体"/>
                <w:color w:val="000000"/>
                <w:kern w:val="0"/>
              </w:rPr>
              <w:t>具象1：</w:t>
            </w:r>
            <w:r>
              <w:rPr>
                <w:rFonts w:hint="eastAsia" w:ascii="宋体" w:hAnsi="宋体" w:eastAsia="宋体" w:cs="宋体"/>
                <w:kern w:val="0"/>
              </w:rPr>
              <w:t>2023年、2024年、2025年</w:t>
            </w:r>
            <w:r>
              <w:rPr>
                <w:rFonts w:hint="eastAsia" w:ascii="宋体" w:hAnsi="宋体" w:eastAsia="宋体"/>
              </w:rPr>
              <w:t>学校发布</w:t>
            </w:r>
            <w:r>
              <w:rPr>
                <w:rFonts w:ascii="宋体" w:hAnsi="宋体" w:eastAsia="宋体"/>
              </w:rPr>
              <w:t>关于修定高职专业人才培养方案的原则意见</w:t>
            </w:r>
            <w:r>
              <w:rPr>
                <w:rFonts w:hint="eastAsia" w:ascii="宋体" w:hAnsi="宋体" w:eastAsia="宋体"/>
              </w:rPr>
              <w:t>文本；学校新发布无锡职业技术大学课程与教材建设实施方案文本</w:t>
            </w:r>
          </w:p>
          <w:p w14:paraId="462D6E52">
            <w:pPr>
              <w:adjustRightInd w:val="0"/>
              <w:snapToGrid w:val="0"/>
              <w:rPr>
                <w:rFonts w:hint="eastAsia" w:ascii="宋体" w:hAnsi="宋体" w:eastAsia="宋体"/>
              </w:rPr>
            </w:pPr>
            <w:r>
              <w:rPr>
                <w:rFonts w:hint="eastAsia" w:ascii="楷体" w:hAnsi="楷体" w:eastAsia="楷体" w:cs="宋体"/>
                <w:kern w:val="0"/>
              </w:rPr>
              <w:t>具象2：</w:t>
            </w:r>
            <w:r>
              <w:rPr>
                <w:rFonts w:hint="eastAsia" w:ascii="宋体" w:hAnsi="宋体" w:eastAsia="宋体" w:cs="宋体"/>
                <w:kern w:val="0"/>
              </w:rPr>
              <w:t>同2.2目标修订之判断依据具象2（该依据中有</w:t>
            </w:r>
            <w:r>
              <w:rPr>
                <w:rFonts w:hint="eastAsia" w:ascii="宋体" w:hAnsi="宋体" w:eastAsia="宋体"/>
              </w:rPr>
              <w:t>企业专家名单意见等）</w:t>
            </w:r>
          </w:p>
          <w:p w14:paraId="57EE12BC">
            <w:pPr>
              <w:adjustRightInd w:val="0"/>
              <w:snapToGrid w:val="0"/>
              <w:rPr>
                <w:rFonts w:hint="eastAsia" w:ascii="楷体" w:hAnsi="楷体" w:eastAsia="楷体" w:cs="宋体"/>
                <w:color w:val="000000"/>
                <w:kern w:val="0"/>
              </w:rPr>
            </w:pPr>
            <w:r>
              <w:rPr>
                <w:rFonts w:hint="eastAsia" w:ascii="楷体" w:hAnsi="楷体" w:eastAsia="楷体"/>
              </w:rPr>
              <w:t>具象3：</w:t>
            </w:r>
            <w:r>
              <w:rPr>
                <w:rFonts w:hint="eastAsia" w:ascii="宋体" w:hAnsi="宋体" w:eastAsia="宋体"/>
              </w:rPr>
              <w:t>同</w:t>
            </w:r>
            <w:r>
              <w:rPr>
                <w:rFonts w:hint="eastAsia" w:ascii="宋体" w:hAnsi="宋体" w:eastAsia="宋体" w:cs="宋体"/>
                <w:kern w:val="0"/>
              </w:rPr>
              <w:t>2.1目标定位之判断依据具象2（该编制说明中有专业总学时达成度结果分析说明、选修课总学时占比达成度结果分析说明）</w:t>
            </w:r>
          </w:p>
        </w:tc>
      </w:tr>
      <w:tr w14:paraId="2A44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4B837B58">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0E1FB118">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70D99C30">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6749DFA9">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采信情况：学校文件及专业报送文件，采信</w:t>
            </w:r>
          </w:p>
          <w:p w14:paraId="18164AE9">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36BD4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238BF910">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4BDE94F5">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4.2公共基础课程</w:t>
            </w:r>
          </w:p>
        </w:tc>
        <w:tc>
          <w:tcPr>
            <w:tcW w:w="2976" w:type="dxa"/>
            <w:tcMar>
              <w:top w:w="57" w:type="dxa"/>
              <w:left w:w="108" w:type="dxa"/>
              <w:bottom w:w="57" w:type="dxa"/>
              <w:right w:w="108" w:type="dxa"/>
            </w:tcMar>
            <w:vAlign w:val="center"/>
          </w:tcPr>
          <w:p w14:paraId="3505530C">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开足开齐公共基础课程，将思想政治理论、体育、军事理论与军训、心理健康教育、劳动教育等列为公共基础必修课程；公共基础课学时数不少于专业总学时的25%</w:t>
            </w:r>
          </w:p>
          <w:p w14:paraId="284FB73F">
            <w:pPr>
              <w:adjustRightInd w:val="0"/>
              <w:snapToGrid w:val="0"/>
              <w:jc w:val="left"/>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本专业</w:t>
            </w:r>
            <w:r>
              <w:rPr>
                <w:rFonts w:hint="eastAsia" w:ascii="宋体" w:hAnsi="宋体" w:eastAsia="宋体" w:cs="宋体"/>
                <w:kern w:val="0"/>
              </w:rPr>
              <w:t>2023年、2024年、2025年</w:t>
            </w:r>
            <w:r>
              <w:rPr>
                <w:rFonts w:hint="eastAsia" w:ascii="宋体" w:hAnsi="宋体" w:eastAsia="宋体"/>
              </w:rPr>
              <w:t>人才培养方案都达到基准要求，并得到实施</w:t>
            </w:r>
          </w:p>
        </w:tc>
        <w:tc>
          <w:tcPr>
            <w:tcW w:w="4684" w:type="dxa"/>
            <w:tcMar>
              <w:top w:w="57" w:type="dxa"/>
              <w:left w:w="108" w:type="dxa"/>
              <w:bottom w:w="57" w:type="dxa"/>
              <w:right w:w="108" w:type="dxa"/>
            </w:tcMar>
            <w:vAlign w:val="center"/>
          </w:tcPr>
          <w:p w14:paraId="1535B518">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开设思想政治理论、体育、军事理论与军训、心理健康教育、劳动教育等公共基础必修课程的审核材料；公共基础课学时数占专业总学时之比的统计和审核材料</w:t>
            </w:r>
          </w:p>
          <w:p w14:paraId="48711EF4">
            <w:pPr>
              <w:adjustRightInd w:val="0"/>
              <w:snapToGrid w:val="0"/>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同</w:t>
            </w:r>
            <w:r>
              <w:rPr>
                <w:rFonts w:hint="eastAsia" w:ascii="宋体" w:hAnsi="宋体" w:eastAsia="宋体" w:cs="宋体"/>
                <w:kern w:val="0"/>
              </w:rPr>
              <w:t>2.1目标定位之判断依据具象2（该编制说明中有公共基础课部分开设结果的分析说明）</w:t>
            </w:r>
          </w:p>
        </w:tc>
      </w:tr>
      <w:tr w14:paraId="46CBC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16D3DB39">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588DCDA2">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531694F8">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245DD51F">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采信情况：专业报送文件，采信</w:t>
            </w:r>
          </w:p>
          <w:p w14:paraId="3EC5D6BC">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4309C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12A8FEF5">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7849C2C2">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4.3专业课程</w:t>
            </w:r>
          </w:p>
        </w:tc>
        <w:tc>
          <w:tcPr>
            <w:tcW w:w="2976" w:type="dxa"/>
            <w:tcMar>
              <w:top w:w="57" w:type="dxa"/>
              <w:left w:w="108" w:type="dxa"/>
              <w:bottom w:w="57" w:type="dxa"/>
              <w:right w:w="108" w:type="dxa"/>
            </w:tcMar>
            <w:vAlign w:val="center"/>
          </w:tcPr>
          <w:p w14:paraId="40C190CD">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专业有促进校企合作共建课程的机制与措施；专业课程对接毕业生就业岗位（群）能力需求，突出培养学生解决生产现场技术与产品问题的能力；宜设置6～8门专司专业核心能力培养的专业核心课程</w:t>
            </w:r>
          </w:p>
          <w:p w14:paraId="5CDCD9EB">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学校2025年新发布了无锡职业技术大学课程与教材建设实施方案（其中四（三）2条款强调了校企合作共建课程）</w:t>
            </w:r>
          </w:p>
          <w:p w14:paraId="1FA0F739">
            <w:pPr>
              <w:adjustRightInd w:val="0"/>
              <w:snapToGrid w:val="0"/>
              <w:jc w:val="left"/>
              <w:rPr>
                <w:rFonts w:hint="eastAsia" w:ascii="宋体" w:hAnsi="宋体" w:eastAsia="宋体"/>
              </w:rPr>
            </w:pPr>
            <w:r>
              <w:rPr>
                <w:rFonts w:hint="eastAsia" w:ascii="楷体" w:hAnsi="楷体" w:eastAsia="楷体"/>
              </w:rPr>
              <w:t>具象2：</w:t>
            </w:r>
            <w:r>
              <w:rPr>
                <w:rFonts w:hint="eastAsia" w:ascii="宋体" w:hAnsi="宋体" w:eastAsia="宋体"/>
              </w:rPr>
              <w:t>专业开展年度毕业生就业岗位（群）能力需求调研</w:t>
            </w:r>
          </w:p>
          <w:p w14:paraId="7D38F9EE">
            <w:pPr>
              <w:adjustRightInd w:val="0"/>
              <w:snapToGrid w:val="0"/>
              <w:jc w:val="left"/>
              <w:rPr>
                <w:rFonts w:hint="eastAsia" w:ascii="楷体" w:hAnsi="楷体" w:eastAsia="楷体" w:cs="宋体"/>
                <w:color w:val="000000"/>
                <w:kern w:val="0"/>
              </w:rPr>
            </w:pPr>
            <w:r>
              <w:rPr>
                <w:rFonts w:hint="eastAsia" w:ascii="楷体" w:hAnsi="楷体" w:eastAsia="楷体"/>
              </w:rPr>
              <w:t>具象3：</w:t>
            </w:r>
            <w:r>
              <w:rPr>
                <w:rFonts w:hint="eastAsia" w:ascii="宋体" w:hAnsi="宋体" w:eastAsia="宋体"/>
                <w:color w:val="000000" w:themeColor="text1"/>
                <w14:textFill>
                  <w14:solidFill>
                    <w14:schemeClr w14:val="tx1"/>
                  </w14:solidFill>
                </w14:textFill>
              </w:rPr>
              <w:t>本专业</w:t>
            </w:r>
            <w:r>
              <w:rPr>
                <w:rFonts w:hint="eastAsia" w:ascii="宋体" w:hAnsi="宋体" w:eastAsia="宋体" w:cs="宋体"/>
                <w:color w:val="000000" w:themeColor="text1"/>
                <w:kern w:val="0"/>
                <w14:textFill>
                  <w14:solidFill>
                    <w14:schemeClr w14:val="tx1"/>
                  </w14:solidFill>
                </w14:textFill>
              </w:rPr>
              <w:t>2023年、2024年、2025年</w:t>
            </w:r>
            <w:r>
              <w:rPr>
                <w:rFonts w:hint="eastAsia" w:ascii="宋体" w:hAnsi="宋体" w:eastAsia="宋体"/>
                <w:color w:val="000000" w:themeColor="text1"/>
                <w14:textFill>
                  <w14:solidFill>
                    <w14:schemeClr w14:val="tx1"/>
                  </w14:solidFill>
                </w14:textFill>
              </w:rPr>
              <w:t>人才培养方案开设了冷冲压工艺与模具设计、模具制造工艺、塑料成型工艺与模具设计、机械制造工艺A、机械设计Ⅰ、机械制图与零部件测绘Ⅰ共6门专业</w:t>
            </w:r>
            <w:r>
              <w:rPr>
                <w:rFonts w:hint="eastAsia" w:ascii="宋体" w:hAnsi="宋体" w:eastAsia="宋体"/>
              </w:rPr>
              <w:t>核心课程</w:t>
            </w:r>
          </w:p>
        </w:tc>
        <w:tc>
          <w:tcPr>
            <w:tcW w:w="4684" w:type="dxa"/>
            <w:tcMar>
              <w:top w:w="57" w:type="dxa"/>
              <w:left w:w="108" w:type="dxa"/>
              <w:bottom w:w="57" w:type="dxa"/>
              <w:right w:w="108" w:type="dxa"/>
            </w:tcMar>
            <w:vAlign w:val="center"/>
          </w:tcPr>
          <w:p w14:paraId="0DD91075">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校企合作共建课程机制与措施的文本汇总材料；专业课程对接毕业生就业岗位（群）能力需求的文本材料；专业课程中有关解决生产现场技术与产品问题的综合性教学项目、教学安排汇总材料；专业核心课程与学生专业核心能力的关系分析材料、审核材料</w:t>
            </w:r>
          </w:p>
          <w:p w14:paraId="5B5908AE">
            <w:pPr>
              <w:adjustRightInd w:val="0"/>
              <w:snapToGrid w:val="0"/>
              <w:rPr>
                <w:rFonts w:hint="eastAsia" w:ascii="楷体" w:hAnsi="楷体" w:eastAsia="楷体"/>
              </w:rPr>
            </w:pPr>
            <w:r>
              <w:rPr>
                <w:rFonts w:hint="eastAsia" w:ascii="楷体" w:hAnsi="楷体" w:eastAsia="楷体"/>
              </w:rPr>
              <w:t>具象1：</w:t>
            </w:r>
            <w:r>
              <w:rPr>
                <w:rFonts w:hint="eastAsia" w:ascii="宋体" w:hAnsi="宋体" w:eastAsia="宋体"/>
              </w:rPr>
              <w:t>同4.1课程设置之判断依据具象1（其中四（三）2条款强调校企合作共建课程）</w:t>
            </w:r>
          </w:p>
          <w:p w14:paraId="01AEF38D">
            <w:pPr>
              <w:adjustRightInd w:val="0"/>
              <w:snapToGrid w:val="0"/>
              <w:rPr>
                <w:rFonts w:hint="eastAsia" w:ascii="宋体" w:hAnsi="宋体" w:eastAsia="宋体"/>
              </w:rPr>
            </w:pPr>
            <w:r>
              <w:rPr>
                <w:rFonts w:hint="eastAsia" w:ascii="楷体" w:hAnsi="楷体" w:eastAsia="楷体"/>
              </w:rPr>
              <w:t>具象2：</w:t>
            </w:r>
            <w:r>
              <w:rPr>
                <w:rFonts w:hint="eastAsia" w:ascii="宋体" w:hAnsi="宋体" w:eastAsia="宋体"/>
              </w:rPr>
              <w:t>同</w:t>
            </w:r>
            <w:r>
              <w:rPr>
                <w:rFonts w:hint="eastAsia" w:ascii="宋体" w:hAnsi="宋体" w:eastAsia="宋体" w:cs="宋体"/>
                <w:kern w:val="0"/>
              </w:rPr>
              <w:t>2.1目标定位之判断依据具象1（该依据涉及了</w:t>
            </w:r>
            <w:r>
              <w:rPr>
                <w:rFonts w:hint="eastAsia" w:ascii="宋体" w:hAnsi="宋体" w:eastAsia="宋体"/>
              </w:rPr>
              <w:t>毕业生就业岗位（群）能力需求调研分析和结论）</w:t>
            </w:r>
          </w:p>
          <w:p w14:paraId="2FC210C3">
            <w:pPr>
              <w:adjustRightInd w:val="0"/>
              <w:snapToGrid w:val="0"/>
              <w:rPr>
                <w:rFonts w:hint="eastAsia" w:ascii="楷体" w:hAnsi="楷体" w:eastAsia="楷体" w:cs="宋体"/>
                <w:color w:val="000000"/>
                <w:kern w:val="0"/>
              </w:rPr>
            </w:pPr>
            <w:r>
              <w:rPr>
                <w:rFonts w:hint="eastAsia" w:ascii="楷体" w:hAnsi="楷体" w:eastAsia="楷体"/>
              </w:rPr>
              <w:t>具象3：</w:t>
            </w:r>
            <w:r>
              <w:rPr>
                <w:rFonts w:hint="eastAsia" w:ascii="宋体" w:hAnsi="宋体" w:eastAsia="宋体"/>
              </w:rPr>
              <w:t>同</w:t>
            </w:r>
            <w:r>
              <w:rPr>
                <w:rFonts w:hint="eastAsia" w:ascii="宋体" w:hAnsi="宋体" w:eastAsia="宋体" w:cs="宋体"/>
                <w:kern w:val="0"/>
              </w:rPr>
              <w:t>2.1目标定位之判断依据具象2（该编制说明中有专业核心课开设说明）</w:t>
            </w:r>
          </w:p>
        </w:tc>
      </w:tr>
      <w:tr w14:paraId="339A4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69142661">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51158CA">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45881965">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114313A2">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采信情况：学校文件和专业报送文件，采信</w:t>
            </w:r>
          </w:p>
          <w:p w14:paraId="5554DC75">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08739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419F98EF">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22BAE510">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4.4实践类课程</w:t>
            </w:r>
          </w:p>
        </w:tc>
        <w:tc>
          <w:tcPr>
            <w:tcW w:w="2976" w:type="dxa"/>
            <w:tcMar>
              <w:top w:w="57" w:type="dxa"/>
              <w:left w:w="108" w:type="dxa"/>
              <w:bottom w:w="57" w:type="dxa"/>
              <w:right w:w="108" w:type="dxa"/>
            </w:tcMar>
            <w:vAlign w:val="center"/>
          </w:tcPr>
          <w:p w14:paraId="76F2614A">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能保证学生习得与机械行业紧密相关的基础技能和专项技能；实践类课程学时占总学时数50%以上，学生实习时间累计达到6个月</w:t>
            </w:r>
          </w:p>
          <w:p w14:paraId="4B8B42DA">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本专业定义了钳工、检测为基础技能，电切削工和数控铣工为专项技能</w:t>
            </w:r>
          </w:p>
          <w:p w14:paraId="38907F7C">
            <w:pPr>
              <w:adjustRightInd w:val="0"/>
              <w:snapToGrid w:val="0"/>
              <w:jc w:val="left"/>
              <w:rPr>
                <w:rFonts w:hint="eastAsia"/>
              </w:rPr>
            </w:pPr>
            <w:r>
              <w:rPr>
                <w:rFonts w:hint="eastAsia" w:ascii="楷体" w:hAnsi="楷体" w:eastAsia="楷体"/>
              </w:rPr>
              <w:t>具象2：</w:t>
            </w:r>
            <w:r>
              <w:rPr>
                <w:rFonts w:hint="eastAsia" w:ascii="宋体" w:hAnsi="宋体" w:eastAsia="宋体"/>
              </w:rPr>
              <w:t>本专业2023年、2024年、2025年人才培养方案实践课程总学时占比都达到50%以上，学生学习累计都达到6个月</w:t>
            </w:r>
          </w:p>
        </w:tc>
        <w:tc>
          <w:tcPr>
            <w:tcW w:w="4684" w:type="dxa"/>
            <w:tcMar>
              <w:top w:w="57" w:type="dxa"/>
              <w:left w:w="108" w:type="dxa"/>
              <w:bottom w:w="57" w:type="dxa"/>
              <w:right w:w="108" w:type="dxa"/>
            </w:tcMar>
            <w:vAlign w:val="center"/>
          </w:tcPr>
          <w:p w14:paraId="1A778D2B">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基础技能、专项技能培训项目的承接课程，教学实施和教学保障汇总材料；学生专业基础技能和专项技能的学习成果汇总材料；劳动教育和安全教育在实践性课程中的具体内容与学时汇总；实践性教学学时、学生实习累计时间的统计、审核材料</w:t>
            </w:r>
          </w:p>
          <w:p w14:paraId="776F6B48">
            <w:pPr>
              <w:adjustRightInd w:val="0"/>
              <w:snapToGrid w:val="0"/>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同</w:t>
            </w:r>
            <w:r>
              <w:rPr>
                <w:rFonts w:hint="eastAsia" w:ascii="宋体" w:hAnsi="宋体" w:eastAsia="宋体" w:cs="宋体"/>
                <w:kern w:val="0"/>
              </w:rPr>
              <w:t>2.1目标定位之判断依据具象2（该编制说明中有基础技能课程、专项技能课程分析说明，及实践类课程学时的总学时占比、学生实习时间累计统计分析）</w:t>
            </w:r>
          </w:p>
        </w:tc>
      </w:tr>
      <w:tr w14:paraId="3D300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56CDB069">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2BF57D85">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03DD14D6">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53750E1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采信情况：学校文件和专业报送文件，采信</w:t>
            </w:r>
          </w:p>
          <w:p w14:paraId="4CAA529C">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2B4C3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763286DF">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0B6D0C68">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4.5专业基础知识领域</w:t>
            </w:r>
          </w:p>
        </w:tc>
        <w:tc>
          <w:tcPr>
            <w:tcW w:w="2976" w:type="dxa"/>
            <w:tcMar>
              <w:top w:w="57" w:type="dxa"/>
              <w:left w:w="108" w:type="dxa"/>
              <w:bottom w:w="57" w:type="dxa"/>
              <w:right w:w="108" w:type="dxa"/>
            </w:tcMar>
            <w:vAlign w:val="center"/>
          </w:tcPr>
          <w:p w14:paraId="71819AC4">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在机械制图、工程力学、机械设计基础、机械制造基础、工程材料与热加工、电工电子技术、公差配合与测量技术、液压与气动等专业基础知识领域内开设不少于4门专业基础课程，在专业特色服务面向的基础知识领域内开设1门专业基础课程</w:t>
            </w:r>
          </w:p>
          <w:p w14:paraId="141B38C2">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在基础课方面开设了《几何量精密测量专用周》《机械设计课程设计》《机械制图测绘》《钳工实训Ⅰ》《数控车床操作实训Ⅰ》等5门专业基础课程；</w:t>
            </w:r>
          </w:p>
          <w:p w14:paraId="735D1F26">
            <w:pPr>
              <w:adjustRightInd w:val="0"/>
              <w:snapToGrid w:val="0"/>
              <w:jc w:val="left"/>
              <w:rPr>
                <w:rFonts w:hint="eastAsia" w:ascii="楷体" w:hAnsi="楷体" w:eastAsia="楷体" w:cs="宋体"/>
                <w:color w:val="000000"/>
                <w:kern w:val="0"/>
              </w:rPr>
            </w:pPr>
            <w:r>
              <w:rPr>
                <w:rFonts w:hint="eastAsia" w:ascii="楷体" w:hAnsi="楷体" w:eastAsia="楷体"/>
              </w:rPr>
              <w:t>具象2：</w:t>
            </w:r>
            <w:r>
              <w:rPr>
                <w:rFonts w:hint="eastAsia" w:ascii="宋体" w:hAnsi="宋体" w:eastAsia="宋体"/>
              </w:rPr>
              <w:t>在特色服务数字化领域开设了《模具数字化设计》专业基础课</w:t>
            </w:r>
          </w:p>
        </w:tc>
        <w:tc>
          <w:tcPr>
            <w:tcW w:w="4684" w:type="dxa"/>
            <w:tcMar>
              <w:top w:w="57" w:type="dxa"/>
              <w:left w:w="108" w:type="dxa"/>
              <w:bottom w:w="57" w:type="dxa"/>
              <w:right w:w="108" w:type="dxa"/>
            </w:tcMar>
            <w:vAlign w:val="center"/>
          </w:tcPr>
          <w:p w14:paraId="5680E93E">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在机械制图、工程力学、机械设计基础、机械制造基础、工程材料与热加工、电工电子技术、公差配合与测量技术、液压与气动等专业基础知识领域内开设的专业基础课程数的统计和审核材料；在专业特色服务面向的基础知识领域内开设的专业基础课程数的统计和审核材料</w:t>
            </w:r>
          </w:p>
          <w:p w14:paraId="2A80D3DB">
            <w:pPr>
              <w:adjustRightInd w:val="0"/>
              <w:snapToGrid w:val="0"/>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同</w:t>
            </w:r>
            <w:r>
              <w:rPr>
                <w:rFonts w:hint="eastAsia" w:ascii="宋体" w:hAnsi="宋体" w:eastAsia="宋体" w:cs="宋体"/>
                <w:color w:val="000000"/>
                <w:kern w:val="0"/>
              </w:rPr>
              <w:t>3.1总体要求之具象2（涉及2023年、2024年、2025年开设的5门专业基础课程和1门特色服务领域专业基础课程）</w:t>
            </w:r>
            <w:r>
              <w:rPr>
                <w:rFonts w:hint="eastAsia" w:ascii="宋体" w:hAnsi="宋体" w:eastAsia="宋体"/>
              </w:rPr>
              <w:t>，智慧教务平台留存记录</w:t>
            </w:r>
          </w:p>
        </w:tc>
      </w:tr>
      <w:tr w14:paraId="34B6F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25813897">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6964AECD">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5692E648">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5C99430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采信情况：专业报送文件和材料及学校网站信息，采信</w:t>
            </w:r>
          </w:p>
          <w:p w14:paraId="7EAC57F3">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12B68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6A128B9B">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6482B1A4">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4.6专业技能训练项目</w:t>
            </w:r>
          </w:p>
        </w:tc>
        <w:tc>
          <w:tcPr>
            <w:tcW w:w="2976" w:type="dxa"/>
            <w:tcMar>
              <w:top w:w="57" w:type="dxa"/>
              <w:left w:w="108" w:type="dxa"/>
              <w:bottom w:w="57" w:type="dxa"/>
              <w:right w:w="108" w:type="dxa"/>
            </w:tcMar>
            <w:vAlign w:val="center"/>
          </w:tcPr>
          <w:p w14:paraId="04E5D5D8">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在钳、车、铣、磨、铸、锻、焊、热处理、数字制图等专业基础技能训练领域内开设3项或以上基础技能训练项目</w:t>
            </w:r>
          </w:p>
          <w:p w14:paraId="00497D37">
            <w:pPr>
              <w:adjustRightInd w:val="0"/>
              <w:snapToGrid w:val="0"/>
              <w:jc w:val="left"/>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模具专业在钳工、车工、铣工和AutoCAD等4项专业基础技能领域开设训练项目</w:t>
            </w:r>
          </w:p>
        </w:tc>
        <w:tc>
          <w:tcPr>
            <w:tcW w:w="4684" w:type="dxa"/>
            <w:tcMar>
              <w:top w:w="57" w:type="dxa"/>
              <w:left w:w="108" w:type="dxa"/>
              <w:bottom w:w="57" w:type="dxa"/>
              <w:right w:w="108" w:type="dxa"/>
            </w:tcMar>
            <w:vAlign w:val="center"/>
          </w:tcPr>
          <w:p w14:paraId="1E554DDF">
            <w:pPr>
              <w:adjustRightInd w:val="0"/>
              <w:snapToGrid w:val="0"/>
              <w:rPr>
                <w:rFonts w:hint="eastAsia" w:ascii="宋体" w:hAnsi="宋体" w:eastAsia="宋体"/>
              </w:rPr>
            </w:pPr>
            <w:r>
              <w:rPr>
                <w:rFonts w:hint="eastAsia" w:ascii="楷体" w:hAnsi="楷体" w:eastAsia="楷体" w:cs="宋体"/>
                <w:color w:val="000000"/>
                <w:kern w:val="0"/>
              </w:rPr>
              <w:t>判断依据：</w:t>
            </w:r>
            <w:r>
              <w:rPr>
                <w:rFonts w:hint="eastAsia" w:ascii="宋体" w:hAnsi="宋体" w:eastAsia="宋体"/>
              </w:rPr>
              <w:t>在钳、车、铣、磨、铸、锻、焊、热处理、数字制图等专业基础技能训练领域内开设的基础技能训练项目的统计和审核材料</w:t>
            </w:r>
          </w:p>
          <w:p w14:paraId="499921E7">
            <w:pPr>
              <w:adjustRightInd w:val="0"/>
              <w:snapToGrid w:val="0"/>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4项专业基础技能训练项目智慧教务平台有教学日志留存信息</w:t>
            </w:r>
          </w:p>
        </w:tc>
      </w:tr>
      <w:tr w14:paraId="799DF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7F05ACFD">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7CA503C">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4774DE0C">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69773A7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采信情况：智慧教务平台2023年、2024年、2025年4项专业基础技能训练教学日志，采信</w:t>
            </w:r>
          </w:p>
          <w:p w14:paraId="1E09D0DA">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2D4D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3D6C508B">
            <w:pPr>
              <w:adjustRightInd w:val="0"/>
              <w:snapToGrid w:val="0"/>
              <w:ind w:firstLine="0" w:firstLineChars="0"/>
              <w:jc w:val="left"/>
              <w:rPr>
                <w:rFonts w:hint="eastAsia" w:ascii="宋体" w:hAnsi="宋体" w:eastAsia="宋体" w:cs="宋体"/>
                <w:color w:val="000000"/>
                <w:kern w:val="0"/>
              </w:rPr>
            </w:pPr>
            <w:r>
              <w:t>5</w:t>
            </w:r>
            <w:r>
              <w:rPr>
                <w:rFonts w:hint="eastAsia"/>
              </w:rPr>
              <w:t>教学实施</w:t>
            </w:r>
          </w:p>
        </w:tc>
        <w:tc>
          <w:tcPr>
            <w:tcW w:w="1261" w:type="dxa"/>
            <w:tcMar>
              <w:top w:w="57" w:type="dxa"/>
              <w:left w:w="108" w:type="dxa"/>
              <w:bottom w:w="57" w:type="dxa"/>
              <w:right w:w="108" w:type="dxa"/>
            </w:tcMar>
            <w:vAlign w:val="center"/>
          </w:tcPr>
          <w:p w14:paraId="7F5AA6F4">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5.1教学管理制度</w:t>
            </w:r>
          </w:p>
        </w:tc>
        <w:tc>
          <w:tcPr>
            <w:tcW w:w="2976" w:type="dxa"/>
            <w:tcMar>
              <w:top w:w="57" w:type="dxa"/>
              <w:left w:w="108" w:type="dxa"/>
              <w:bottom w:w="57" w:type="dxa"/>
              <w:right w:w="108" w:type="dxa"/>
            </w:tcMar>
            <w:vAlign w:val="center"/>
          </w:tcPr>
          <w:p w14:paraId="53C3E343">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有覆盖教学实施全过程的、规范系统的教学管理制度，制度有效执行；教材管理及学生实习符合国家相关要求</w:t>
            </w:r>
          </w:p>
          <w:p w14:paraId="1CF26EAA">
            <w:pPr>
              <w:adjustRightInd w:val="0"/>
              <w:snapToGrid w:val="0"/>
              <w:jc w:val="left"/>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学校有“无锡职业技术学院教师教学工作规范（修订）”等教学管理制度</w:t>
            </w:r>
          </w:p>
          <w:p w14:paraId="1B8C23C3">
            <w:pPr>
              <w:adjustRightInd w:val="0"/>
              <w:snapToGrid w:val="0"/>
              <w:jc w:val="left"/>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学校教材管理参照执行教育部</w:t>
            </w:r>
            <w:r>
              <w:rPr>
                <w:rFonts w:ascii="宋体" w:hAnsi="宋体" w:eastAsia="宋体"/>
                <w:color w:val="000000"/>
                <w:kern w:val="0"/>
              </w:rPr>
              <w:t>《普通高等学校教材管理办法》</w:t>
            </w:r>
          </w:p>
          <w:p w14:paraId="6A44A590">
            <w:pPr>
              <w:adjustRightInd w:val="0"/>
              <w:snapToGrid w:val="0"/>
              <w:jc w:val="left"/>
              <w:rPr>
                <w:rFonts w:hint="eastAsia" w:ascii="宋体" w:hAnsi="宋体" w:eastAsia="宋体"/>
                <w:color w:val="000000"/>
                <w:kern w:val="0"/>
              </w:rPr>
            </w:pPr>
            <w:r>
              <w:rPr>
                <w:rFonts w:hint="eastAsia" w:ascii="楷体" w:hAnsi="楷体" w:eastAsia="楷体"/>
                <w:color w:val="000000"/>
                <w:kern w:val="0"/>
              </w:rPr>
              <w:t>具象3</w:t>
            </w:r>
            <w:r>
              <w:rPr>
                <w:rFonts w:hint="eastAsia" w:ascii="宋体" w:hAnsi="宋体" w:eastAsia="宋体"/>
                <w:color w:val="000000"/>
                <w:kern w:val="0"/>
              </w:rPr>
              <w:t>：学生实习管理参照执行《</w:t>
            </w:r>
            <w:r>
              <w:rPr>
                <w:rFonts w:ascii="宋体" w:hAnsi="宋体" w:eastAsia="宋体"/>
                <w:color w:val="000000"/>
                <w:kern w:val="0"/>
              </w:rPr>
              <w:t>职业学校学生实习管理规定</w:t>
            </w:r>
            <w:r>
              <w:rPr>
                <w:rFonts w:hint="eastAsia" w:ascii="宋体" w:hAnsi="宋体" w:eastAsia="宋体"/>
                <w:color w:val="000000"/>
                <w:kern w:val="0"/>
              </w:rPr>
              <w:t>》</w:t>
            </w:r>
          </w:p>
          <w:p w14:paraId="66906837">
            <w:pPr>
              <w:adjustRightInd w:val="0"/>
              <w:snapToGrid w:val="0"/>
              <w:jc w:val="left"/>
              <w:rPr>
                <w:rFonts w:hint="eastAsia" w:ascii="楷体" w:hAnsi="楷体" w:eastAsia="楷体" w:cs="宋体"/>
                <w:color w:val="000000"/>
                <w:kern w:val="0"/>
              </w:rPr>
            </w:pPr>
            <w:r>
              <w:rPr>
                <w:rFonts w:hint="eastAsia" w:ascii="楷体" w:hAnsi="楷体" w:eastAsia="楷体"/>
                <w:color w:val="000000"/>
                <w:kern w:val="0"/>
              </w:rPr>
              <w:t>具象4</w:t>
            </w:r>
            <w:r>
              <w:rPr>
                <w:rFonts w:hint="eastAsia" w:ascii="宋体" w:hAnsi="宋体" w:eastAsia="宋体"/>
                <w:color w:val="000000"/>
                <w:kern w:val="0"/>
              </w:rPr>
              <w:t>：机械学院有课程教学</w:t>
            </w:r>
            <w:r>
              <w:rPr>
                <w:rFonts w:hint="eastAsia" w:ascii="宋体" w:hAnsi="宋体" w:eastAsia="宋体"/>
              </w:rPr>
              <w:t>管理办法</w:t>
            </w:r>
            <w:r>
              <w:rPr>
                <w:rFonts w:hint="eastAsia" w:ascii="宋体" w:hAnsi="宋体" w:eastAsia="宋体"/>
                <w:color w:val="000000"/>
                <w:kern w:val="0"/>
              </w:rPr>
              <w:t>（听课评价每学期覆盖所有任课教师）</w:t>
            </w:r>
          </w:p>
        </w:tc>
        <w:tc>
          <w:tcPr>
            <w:tcW w:w="4684" w:type="dxa"/>
            <w:tcMar>
              <w:top w:w="57" w:type="dxa"/>
              <w:left w:w="108" w:type="dxa"/>
              <w:bottom w:w="57" w:type="dxa"/>
              <w:right w:w="108" w:type="dxa"/>
            </w:tcMar>
            <w:vAlign w:val="center"/>
          </w:tcPr>
          <w:p w14:paraId="4CFAFD31">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教学管理制度及执行情况记录，含课堂教学规范、教学质量监控与督导、校企协同教学管理、信息化教学支持、课程考核管理等制度及执行情况汇总材料；教材管理制度、学生实习管理制度及执行情况记录</w:t>
            </w:r>
          </w:p>
          <w:p w14:paraId="53D01A44">
            <w:pPr>
              <w:adjustRightInd w:val="0"/>
              <w:snapToGrid w:val="0"/>
              <w:rPr>
                <w:rFonts w:hint="eastAsia" w:ascii="宋体" w:hAnsi="宋体" w:eastAsia="宋体"/>
              </w:rPr>
            </w:pPr>
            <w:r>
              <w:rPr>
                <w:rFonts w:hint="eastAsia" w:ascii="楷体" w:hAnsi="楷体" w:eastAsia="楷体"/>
              </w:rPr>
              <w:t>具象1：</w:t>
            </w:r>
            <w:r>
              <w:rPr>
                <w:rFonts w:hint="eastAsia" w:cs="宋体"/>
                <w:color w:val="000000"/>
                <w:kern w:val="0"/>
              </w:rPr>
              <w:t>同2.1判断依据之具象2</w:t>
            </w:r>
          </w:p>
          <w:p w14:paraId="718C77E5">
            <w:pPr>
              <w:adjustRightInd w:val="0"/>
              <w:snapToGrid w:val="0"/>
              <w:rPr>
                <w:rFonts w:hint="eastAsia" w:ascii="宋体" w:hAnsi="宋体" w:eastAsia="宋体"/>
              </w:rPr>
            </w:pPr>
            <w:r>
              <w:rPr>
                <w:rFonts w:hint="eastAsia" w:ascii="楷体" w:hAnsi="楷体" w:eastAsia="楷体"/>
              </w:rPr>
              <w:t>具象2：</w:t>
            </w:r>
            <w:r>
              <w:rPr>
                <w:rFonts w:hint="eastAsia" w:ascii="宋体" w:hAnsi="宋体" w:eastAsia="宋体"/>
              </w:rPr>
              <w:t>本专业每学期教材选用记录</w:t>
            </w:r>
          </w:p>
          <w:p w14:paraId="34E07A30">
            <w:pPr>
              <w:adjustRightInd w:val="0"/>
              <w:snapToGrid w:val="0"/>
              <w:rPr>
                <w:rFonts w:hint="eastAsia" w:ascii="宋体" w:hAnsi="宋体" w:eastAsia="宋体"/>
              </w:rPr>
            </w:pPr>
            <w:r>
              <w:rPr>
                <w:rFonts w:hint="eastAsia" w:ascii="楷体" w:hAnsi="楷体" w:eastAsia="楷体"/>
              </w:rPr>
              <w:t>具象3：</w:t>
            </w:r>
            <w:r>
              <w:rPr>
                <w:rFonts w:hint="eastAsia" w:ascii="宋体" w:hAnsi="宋体" w:eastAsia="宋体"/>
              </w:rPr>
              <w:t>本专业顶岗实习过程管理日志（智慧教务平台查阅记录）</w:t>
            </w:r>
          </w:p>
          <w:p w14:paraId="22BC4FCB">
            <w:pPr>
              <w:adjustRightInd w:val="0"/>
              <w:snapToGrid w:val="0"/>
              <w:rPr>
                <w:rFonts w:hint="eastAsia" w:ascii="楷体" w:hAnsi="楷体" w:eastAsia="楷体" w:cs="宋体"/>
                <w:color w:val="000000"/>
                <w:kern w:val="0"/>
              </w:rPr>
            </w:pPr>
            <w:r>
              <w:rPr>
                <w:rFonts w:hint="eastAsia" w:ascii="楷体" w:hAnsi="楷体" w:eastAsia="楷体"/>
              </w:rPr>
              <w:t>具象4：</w:t>
            </w:r>
            <w:r>
              <w:rPr>
                <w:rFonts w:hint="eastAsia" w:ascii="宋体" w:hAnsi="宋体" w:eastAsia="宋体"/>
              </w:rPr>
              <w:t>机械工程学院学期听课评价记录及年度课程教学质量评价结果材料</w:t>
            </w:r>
          </w:p>
        </w:tc>
      </w:tr>
      <w:tr w14:paraId="0FA72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1E0DC04E">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097217E">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10EC983F">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5F996893">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采信情况：学校文件和具象依据的原始文件，采信</w:t>
            </w:r>
          </w:p>
          <w:p w14:paraId="1B4DB86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692BE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1A92C278">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0B3B42C6">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5.2课程教学目标与内容</w:t>
            </w:r>
          </w:p>
        </w:tc>
        <w:tc>
          <w:tcPr>
            <w:tcW w:w="2976" w:type="dxa"/>
            <w:tcMar>
              <w:top w:w="57" w:type="dxa"/>
              <w:left w:w="108" w:type="dxa"/>
              <w:bottom w:w="57" w:type="dxa"/>
              <w:right w:w="108" w:type="dxa"/>
            </w:tcMar>
            <w:vAlign w:val="center"/>
          </w:tcPr>
          <w:p w14:paraId="7B7D5CD9">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课程教学体现正确的政治方向和价值导向；课程教学目标明确、公开、可测、可达，并对接毕业要求；课程教学内容聚焦教学目标，体现科学性、先进性、职业性、适宜性现科学性、先进性、职业性、适宜性</w:t>
            </w:r>
          </w:p>
          <w:p w14:paraId="135FF682">
            <w:pPr>
              <w:adjustRightInd w:val="0"/>
              <w:snapToGrid w:val="0"/>
              <w:jc w:val="left"/>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学校每年度人才培养方案修订意见有明确的正确政治方向和价值导向的要求</w:t>
            </w:r>
          </w:p>
          <w:p w14:paraId="63808E80">
            <w:pPr>
              <w:adjustRightInd w:val="0"/>
              <w:snapToGrid w:val="0"/>
              <w:jc w:val="left"/>
              <w:rPr>
                <w:rFonts w:hint="eastAsia" w:ascii="宋体" w:hAnsi="宋体" w:eastAsia="宋体"/>
                <w:color w:val="000000"/>
                <w:kern w:val="0"/>
              </w:rPr>
            </w:pPr>
            <w:r>
              <w:rPr>
                <w:rFonts w:hint="eastAsia" w:ascii="宋体" w:hAnsi="宋体" w:eastAsia="宋体"/>
                <w:color w:val="000000"/>
                <w:kern w:val="0"/>
              </w:rPr>
              <w:t>具象2：模具设计与制造专业课程是根据“毕业要求-课程”矩阵表得到教学目标</w:t>
            </w:r>
          </w:p>
          <w:p w14:paraId="55E7A3F5">
            <w:pPr>
              <w:adjustRightInd w:val="0"/>
              <w:snapToGrid w:val="0"/>
              <w:jc w:val="left"/>
              <w:rPr>
                <w:rFonts w:hint="eastAsia" w:ascii="楷体" w:hAnsi="楷体" w:eastAsia="楷体" w:cs="宋体"/>
                <w:color w:val="000000"/>
                <w:kern w:val="0"/>
              </w:rPr>
            </w:pPr>
            <w:r>
              <w:rPr>
                <w:rFonts w:hint="eastAsia" w:ascii="宋体" w:hAnsi="宋体" w:eastAsia="宋体"/>
                <w:color w:val="000000"/>
                <w:kern w:val="0"/>
              </w:rPr>
              <w:t>具象3：课程教学内容按课程标准设计执行</w:t>
            </w:r>
          </w:p>
        </w:tc>
        <w:tc>
          <w:tcPr>
            <w:tcW w:w="4684" w:type="dxa"/>
            <w:tcMar>
              <w:top w:w="57" w:type="dxa"/>
              <w:left w:w="108" w:type="dxa"/>
              <w:bottom w:w="57" w:type="dxa"/>
              <w:right w:w="108" w:type="dxa"/>
            </w:tcMar>
            <w:vAlign w:val="center"/>
          </w:tcPr>
          <w:p w14:paraId="3289D794">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课程思政的审核与落实汇总材料；课程教学目标、教学内容与本课程承接毕业要求的一致性审核材料；课程教学目标的确立依据、教学内容的组织逻辑分析材料，新技术、新装备、新工艺、新材料等企业项目或案例纳入课程的材料</w:t>
            </w:r>
          </w:p>
          <w:p w14:paraId="6D201FFB">
            <w:pPr>
              <w:adjustRightInd w:val="0"/>
              <w:snapToGrid w:val="0"/>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各课程教学标准文本（落实了课程思政教学内容）</w:t>
            </w:r>
          </w:p>
          <w:p w14:paraId="0477CA83">
            <w:pPr>
              <w:adjustRightInd w:val="0"/>
              <w:snapToGrid w:val="0"/>
              <w:rPr>
                <w:rFonts w:hint="eastAsia" w:ascii="宋体" w:hAnsi="宋体" w:eastAsia="宋体" w:cs="宋体"/>
                <w:kern w:val="0"/>
              </w:rPr>
            </w:pPr>
            <w:r>
              <w:rPr>
                <w:rFonts w:hint="eastAsia" w:ascii="楷体" w:hAnsi="楷体" w:eastAsia="楷体"/>
                <w:color w:val="000000"/>
                <w:kern w:val="0"/>
              </w:rPr>
              <w:t>具象2：</w:t>
            </w:r>
            <w:r>
              <w:rPr>
                <w:rFonts w:hint="eastAsia" w:ascii="宋体" w:hAnsi="宋体" w:eastAsia="宋体"/>
              </w:rPr>
              <w:t>同</w:t>
            </w:r>
            <w:r>
              <w:rPr>
                <w:rFonts w:hint="eastAsia" w:ascii="宋体" w:hAnsi="宋体" w:eastAsia="宋体" w:cs="宋体"/>
                <w:kern w:val="0"/>
              </w:rPr>
              <w:t>2.1目标定位之判断依据具象2（该编制说明中有毕业要求与承接课程矩阵表，描述了课程教学目标依据、有年度四新进课程的要求汇总表）</w:t>
            </w:r>
          </w:p>
          <w:p w14:paraId="02A0AD7B">
            <w:pPr>
              <w:adjustRightInd w:val="0"/>
              <w:snapToGrid w:val="0"/>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rPr>
              <w:t>2023年、2024年、2025年四新进课程的课程标准材料和智慧教务平台四新案例教学日志</w:t>
            </w:r>
          </w:p>
        </w:tc>
      </w:tr>
      <w:tr w14:paraId="32B61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54A5E438">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7B3113FA">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24D863A5">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具象与依据：基本符合</w:t>
            </w:r>
          </w:p>
          <w:p w14:paraId="1C73744E">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采信情况：教学原始文件，四新案例进课程数量少（每年不足10%）</w:t>
            </w:r>
          </w:p>
          <w:p w14:paraId="1441932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B</w:t>
            </w:r>
          </w:p>
        </w:tc>
      </w:tr>
      <w:tr w14:paraId="71E2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0E4534AE">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1002B149">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5.3课堂教学</w:t>
            </w:r>
          </w:p>
        </w:tc>
        <w:tc>
          <w:tcPr>
            <w:tcW w:w="2976" w:type="dxa"/>
            <w:tcMar>
              <w:top w:w="57" w:type="dxa"/>
              <w:left w:w="108" w:type="dxa"/>
              <w:bottom w:w="57" w:type="dxa"/>
              <w:right w:w="108" w:type="dxa"/>
            </w:tcMar>
            <w:vAlign w:val="center"/>
          </w:tcPr>
          <w:p w14:paraId="5257E83A">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根据学生的学习现状、资源条件和具体的教学内容，采取适宜的教学策略、方式和手段，提升学生课堂学习专注度，动态掌控课堂教学目标的达成</w:t>
            </w:r>
          </w:p>
          <w:p w14:paraId="1174E771">
            <w:pPr>
              <w:adjustRightInd w:val="0"/>
              <w:snapToGrid w:val="0"/>
              <w:jc w:val="left"/>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专业要求每次课学生提交当堂记录作为提升课堂学习专注度的日常措施</w:t>
            </w:r>
          </w:p>
          <w:p w14:paraId="4CDFA2E1">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专业严格执行每课课余辅导、考前辅导制度</w:t>
            </w:r>
          </w:p>
          <w:p w14:paraId="3A7880DC">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部分课程设置了关键项目学生当堂评测环节，以动态掌控教学目标达成度</w:t>
            </w:r>
          </w:p>
        </w:tc>
        <w:tc>
          <w:tcPr>
            <w:tcW w:w="4684" w:type="dxa"/>
            <w:tcMar>
              <w:top w:w="57" w:type="dxa"/>
              <w:left w:w="108" w:type="dxa"/>
              <w:bottom w:w="57" w:type="dxa"/>
              <w:right w:w="108" w:type="dxa"/>
            </w:tcMar>
            <w:vAlign w:val="center"/>
          </w:tcPr>
          <w:p w14:paraId="3BF439B6">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近三年教师课堂教学记录、教学反思材料，课堂教学管理与督导反馈材料，发现的教学难题以及解决方案，解决或缓解教学难题的汇总材料；课程的教学辅导记录，针对学有困难学生的个性化指导记录等汇总材料料</w:t>
            </w:r>
          </w:p>
          <w:p w14:paraId="2356C107">
            <w:pPr>
              <w:adjustRightInd w:val="0"/>
              <w:snapToGrid w:val="0"/>
              <w:rPr>
                <w:rFonts w:hint="eastAsia" w:ascii="楷体" w:hAnsi="楷体" w:eastAsia="楷体"/>
                <w:color w:val="000000"/>
                <w:kern w:val="0"/>
              </w:rPr>
            </w:pPr>
            <w:r>
              <w:rPr>
                <w:rFonts w:hint="eastAsia" w:ascii="楷体" w:hAnsi="楷体" w:eastAsia="楷体"/>
                <w:color w:val="000000"/>
                <w:kern w:val="0"/>
              </w:rPr>
              <w:t>具象1：</w:t>
            </w:r>
            <w:r>
              <w:rPr>
                <w:rFonts w:hint="eastAsia" w:ascii="宋体" w:hAnsi="宋体" w:eastAsia="宋体"/>
                <w:color w:val="000000"/>
                <w:kern w:val="0"/>
              </w:rPr>
              <w:t>学生提交当堂记录（电子版，机械学院归档资料）</w:t>
            </w:r>
          </w:p>
          <w:p w14:paraId="5237EF13">
            <w:pPr>
              <w:adjustRightInd w:val="0"/>
              <w:snapToGrid w:val="0"/>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智慧教务平台</w:t>
            </w:r>
            <w:r>
              <w:rPr>
                <w:rFonts w:hint="eastAsia" w:ascii="宋体" w:hAnsi="宋体" w:eastAsia="宋体"/>
              </w:rPr>
              <w:t>2023年、2024年、2025年各课程</w:t>
            </w:r>
            <w:r>
              <w:rPr>
                <w:rFonts w:hint="eastAsia" w:ascii="宋体" w:hAnsi="宋体" w:eastAsia="宋体"/>
                <w:color w:val="000000"/>
                <w:kern w:val="0"/>
              </w:rPr>
              <w:t>教学日志（有课余辅导记录，包括了学有困难学生的辅导）</w:t>
            </w:r>
          </w:p>
          <w:p w14:paraId="46DB9B52">
            <w:pPr>
              <w:adjustRightInd w:val="0"/>
              <w:snapToGrid w:val="0"/>
              <w:rPr>
                <w:rFonts w:hint="eastAsia" w:ascii="楷体" w:hAnsi="楷体" w:eastAsia="楷体" w:cs="宋体"/>
                <w:color w:val="000000"/>
                <w:kern w:val="0"/>
              </w:rPr>
            </w:pPr>
            <w:r>
              <w:rPr>
                <w:rFonts w:hint="eastAsia" w:ascii="楷体" w:hAnsi="楷体" w:eastAsia="楷体"/>
                <w:color w:val="000000"/>
                <w:kern w:val="0"/>
              </w:rPr>
              <w:t>具象3：</w:t>
            </w:r>
            <w:r>
              <w:rPr>
                <w:rFonts w:hint="eastAsia" w:ascii="宋体" w:hAnsi="宋体" w:eastAsia="宋体" w:cs="宋体"/>
                <w:color w:val="000000"/>
                <w:kern w:val="0"/>
              </w:rPr>
              <w:t>课程关键项目学生当堂评测环节作品有评价表（机械学院归档资料）</w:t>
            </w:r>
          </w:p>
        </w:tc>
      </w:tr>
      <w:tr w14:paraId="2D7B2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17E6F591">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26782C9">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28111AF5">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具象与依据：基本符合</w:t>
            </w:r>
          </w:p>
          <w:p w14:paraId="3343FCDA">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采信情况：机械学院归档资料，采信</w:t>
            </w:r>
          </w:p>
          <w:p w14:paraId="5247F47C">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A</w:t>
            </w:r>
          </w:p>
        </w:tc>
      </w:tr>
      <w:tr w14:paraId="3FEB3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68E8F998">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4CBC3B85">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5.4课程考核</w:t>
            </w:r>
          </w:p>
        </w:tc>
        <w:tc>
          <w:tcPr>
            <w:tcW w:w="2976" w:type="dxa"/>
            <w:tcMar>
              <w:top w:w="57" w:type="dxa"/>
              <w:left w:w="108" w:type="dxa"/>
              <w:bottom w:w="57" w:type="dxa"/>
              <w:right w:w="108" w:type="dxa"/>
            </w:tcMar>
            <w:vAlign w:val="center"/>
          </w:tcPr>
          <w:p w14:paraId="6C444E75">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课程考核项目与课程教学目标一致，体现过程性评价与结果性评价相结合；单门课程成绩合格率宜在75%~95%之间</w:t>
            </w:r>
          </w:p>
          <w:p w14:paraId="1382C2FC">
            <w:pPr>
              <w:adjustRightInd w:val="0"/>
              <w:snapToGrid w:val="0"/>
              <w:ind w:left="-29" w:leftChars="-16"/>
              <w:jc w:val="left"/>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专业课程标准中设有专门的课程考核项目，已包括了过程考核和结果性评价</w:t>
            </w:r>
          </w:p>
          <w:p w14:paraId="1A7F075B">
            <w:pPr>
              <w:adjustRightInd w:val="0"/>
              <w:snapToGrid w:val="0"/>
              <w:jc w:val="left"/>
              <w:rPr>
                <w:rFonts w:hint="eastAsia" w:ascii="楷体" w:hAnsi="楷体" w:eastAsia="楷体" w:cs="宋体"/>
                <w:color w:val="000000"/>
                <w:kern w:val="0"/>
              </w:rPr>
            </w:pPr>
            <w:r>
              <w:rPr>
                <w:rFonts w:hint="eastAsia" w:ascii="楷体" w:hAnsi="楷体" w:eastAsia="楷体"/>
                <w:color w:val="000000"/>
                <w:kern w:val="0"/>
              </w:rPr>
              <w:t>具象2：</w:t>
            </w:r>
            <w:r>
              <w:rPr>
                <w:rFonts w:hint="eastAsia" w:ascii="宋体" w:hAnsi="宋体" w:eastAsia="宋体"/>
              </w:rPr>
              <w:t>2023年、2024年、2025年</w:t>
            </w:r>
            <w:r>
              <w:rPr>
                <w:rFonts w:hint="eastAsia" w:ascii="宋体" w:hAnsi="宋体" w:eastAsia="宋体"/>
                <w:color w:val="000000"/>
                <w:kern w:val="0"/>
              </w:rPr>
              <w:t>课程成绩合格率在</w:t>
            </w:r>
            <w:r>
              <w:rPr>
                <w:rFonts w:ascii="宋体" w:hAnsi="宋体" w:eastAsia="宋体"/>
                <w:color w:val="000000"/>
                <w:kern w:val="0"/>
              </w:rPr>
              <w:t>75%</w:t>
            </w:r>
            <w:r>
              <w:rPr>
                <w:rFonts w:ascii="Times New Roman" w:hAnsi="Times New Roman" w:eastAsia="宋体"/>
                <w:color w:val="000000"/>
                <w:kern w:val="0"/>
              </w:rPr>
              <w:t>~</w:t>
            </w:r>
            <w:r>
              <w:rPr>
                <w:rFonts w:ascii="宋体" w:hAnsi="宋体" w:eastAsia="宋体"/>
                <w:color w:val="000000"/>
                <w:kern w:val="0"/>
              </w:rPr>
              <w:t>95%之间</w:t>
            </w:r>
            <w:r>
              <w:rPr>
                <w:rFonts w:hint="eastAsia" w:ascii="宋体" w:hAnsi="宋体" w:eastAsia="宋体"/>
                <w:color w:val="000000"/>
                <w:kern w:val="0"/>
              </w:rPr>
              <w:t>的课程占比达到了92%</w:t>
            </w:r>
          </w:p>
        </w:tc>
        <w:tc>
          <w:tcPr>
            <w:tcW w:w="4684" w:type="dxa"/>
            <w:tcMar>
              <w:top w:w="57" w:type="dxa"/>
              <w:left w:w="108" w:type="dxa"/>
              <w:bottom w:w="57" w:type="dxa"/>
              <w:right w:w="108" w:type="dxa"/>
            </w:tcMar>
            <w:vAlign w:val="center"/>
          </w:tcPr>
          <w:p w14:paraId="1649DE51">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课程考核项目与课程教学目标一致性审核材料，过程性评价与结果性评价的比例分配审核材料；近三年课程考核的原始材料；近三年各课程的合格率、课程教学目标达成情况分析材料</w:t>
            </w:r>
          </w:p>
          <w:p w14:paraId="2AE27C01">
            <w:pPr>
              <w:adjustRightInd w:val="0"/>
              <w:snapToGrid w:val="0"/>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专业课程标准文本（智慧教务平台可查阅）</w:t>
            </w:r>
          </w:p>
          <w:p w14:paraId="4DBBFD24">
            <w:pPr>
              <w:adjustRightInd w:val="0"/>
              <w:snapToGrid w:val="0"/>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课程成绩合格率（智慧教务平台可查阅课程成绩的直方图）</w:t>
            </w:r>
          </w:p>
        </w:tc>
      </w:tr>
      <w:tr w14:paraId="40D2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3CFF61AE">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2C531FDC">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0BFA17FC">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具象与依据：基本符合</w:t>
            </w:r>
          </w:p>
          <w:p w14:paraId="1476E8F4">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采信情况：智慧教务平台查阅并抽查原始机械学院归档材料，采信</w:t>
            </w:r>
          </w:p>
          <w:p w14:paraId="30D39A47">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A</w:t>
            </w:r>
          </w:p>
        </w:tc>
      </w:tr>
      <w:tr w14:paraId="7652D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64BDE3C3">
            <w:pPr>
              <w:adjustRightInd w:val="0"/>
              <w:snapToGrid w:val="0"/>
              <w:ind w:firstLine="0" w:firstLineChars="0"/>
              <w:jc w:val="left"/>
              <w:rPr>
                <w:rFonts w:hint="eastAsia" w:ascii="宋体" w:hAnsi="宋体" w:eastAsia="宋体" w:cs="宋体"/>
                <w:color w:val="000000"/>
                <w:kern w:val="0"/>
              </w:rPr>
            </w:pPr>
            <w:r>
              <w:t>6</w:t>
            </w:r>
            <w:r>
              <w:rPr>
                <w:rFonts w:hint="eastAsia"/>
              </w:rPr>
              <w:t>持续改进</w:t>
            </w:r>
          </w:p>
        </w:tc>
        <w:tc>
          <w:tcPr>
            <w:tcW w:w="1261" w:type="dxa"/>
            <w:tcMar>
              <w:top w:w="57" w:type="dxa"/>
              <w:left w:w="108" w:type="dxa"/>
              <w:bottom w:w="57" w:type="dxa"/>
              <w:right w:w="108" w:type="dxa"/>
            </w:tcMar>
            <w:vAlign w:val="center"/>
          </w:tcPr>
          <w:p w14:paraId="63D79E82">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6.1内部质量监控机制</w:t>
            </w:r>
          </w:p>
        </w:tc>
        <w:tc>
          <w:tcPr>
            <w:tcW w:w="2976" w:type="dxa"/>
            <w:tcMar>
              <w:top w:w="57" w:type="dxa"/>
              <w:left w:w="108" w:type="dxa"/>
              <w:bottom w:w="57" w:type="dxa"/>
              <w:right w:w="108" w:type="dxa"/>
            </w:tcMar>
            <w:vAlign w:val="center"/>
          </w:tcPr>
          <w:p w14:paraId="61E8C5EE">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明确各主要教学环节的质量要求，建立常态化质量监控机制</w:t>
            </w:r>
          </w:p>
          <w:p w14:paraId="39FE1A19">
            <w:pPr>
              <w:adjustRightInd w:val="0"/>
              <w:snapToGrid w:val="0"/>
              <w:jc w:val="left"/>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学校设有质控部，负责常态化质量监控活动</w:t>
            </w:r>
          </w:p>
        </w:tc>
        <w:tc>
          <w:tcPr>
            <w:tcW w:w="4684" w:type="dxa"/>
            <w:tcMar>
              <w:top w:w="57" w:type="dxa"/>
              <w:left w:w="108" w:type="dxa"/>
              <w:bottom w:w="57" w:type="dxa"/>
              <w:right w:w="108" w:type="dxa"/>
            </w:tcMar>
            <w:vAlign w:val="center"/>
          </w:tcPr>
          <w:p w14:paraId="643BF45E">
            <w:pPr>
              <w:adjustRightInd w:val="0"/>
              <w:snapToGrid w:val="0"/>
              <w:rPr>
                <w:rFonts w:hint="eastAsia"/>
              </w:rPr>
            </w:pPr>
            <w:r>
              <w:rPr>
                <w:rFonts w:hint="eastAsia" w:ascii="楷体" w:hAnsi="楷体" w:eastAsia="楷体" w:cs="宋体"/>
                <w:color w:val="000000"/>
                <w:kern w:val="0"/>
              </w:rPr>
              <w:t>判断依据：</w:t>
            </w:r>
            <w:r>
              <w:rPr>
                <w:rFonts w:hint="eastAsia"/>
              </w:rPr>
              <w:t>包括专业人才培养的“方案设计、实施过程、评价改进”在内的质量监控制度汇总文本，制度执行记录</w:t>
            </w:r>
          </w:p>
          <w:p w14:paraId="6B1A9855">
            <w:pPr>
              <w:adjustRightInd w:val="0"/>
              <w:snapToGrid w:val="0"/>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2023年、2024年、2025年本专业教研活动执行学期常态诊改和学年改进的记录</w:t>
            </w:r>
          </w:p>
        </w:tc>
      </w:tr>
      <w:tr w14:paraId="627A4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63AB852D">
            <w:pPr>
              <w:adjustRightInd w:val="0"/>
              <w:snapToGrid w:val="0"/>
              <w:ind w:firstLine="0" w:firstLineChars="0"/>
              <w:jc w:val="right"/>
              <w:rPr>
                <w:rFonts w:hint="eastAsia" w:ascii="宋体" w:hAnsi="宋体" w:eastAsia="宋体"/>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620F360">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79259685">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320C54B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采信情况：学校文件、学校机构走访、专业教研活动相关记录，采信</w:t>
            </w:r>
          </w:p>
          <w:p w14:paraId="1E19E53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2B7D4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084D0B9D">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0EC33325">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6.2毕业生随访与社会评价机制</w:t>
            </w:r>
          </w:p>
        </w:tc>
        <w:tc>
          <w:tcPr>
            <w:tcW w:w="2976" w:type="dxa"/>
            <w:tcMar>
              <w:top w:w="57" w:type="dxa"/>
              <w:left w:w="108" w:type="dxa"/>
              <w:bottom w:w="57" w:type="dxa"/>
              <w:right w:w="108" w:type="dxa"/>
            </w:tcMar>
            <w:vAlign w:val="center"/>
          </w:tcPr>
          <w:p w14:paraId="718DD340">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建立毕业生随访反馈机制、用人单位评价反馈机制；每年对专业培养目标达成情况进行外部评价</w:t>
            </w:r>
          </w:p>
          <w:p w14:paraId="68EE4305">
            <w:pPr>
              <w:adjustRightInd w:val="0"/>
              <w:snapToGrid w:val="0"/>
              <w:jc w:val="left"/>
              <w:rPr>
                <w:rFonts w:hint="eastAsia" w:ascii="宋体" w:hAnsi="宋体" w:eastAsia="宋体"/>
              </w:rPr>
            </w:pPr>
            <w:r>
              <w:rPr>
                <w:rFonts w:hint="eastAsia" w:ascii="楷体" w:hAnsi="楷体" w:eastAsia="楷体"/>
              </w:rPr>
              <w:t>具象1：</w:t>
            </w:r>
            <w:r>
              <w:rPr>
                <w:rFonts w:hint="eastAsia" w:ascii="宋体" w:hAnsi="宋体" w:eastAsia="宋体"/>
              </w:rPr>
              <w:t>学校有毕业生随访反馈制度</w:t>
            </w:r>
          </w:p>
          <w:p w14:paraId="178E11ED">
            <w:pPr>
              <w:adjustRightInd w:val="0"/>
              <w:snapToGrid w:val="0"/>
              <w:jc w:val="left"/>
              <w:rPr>
                <w:rFonts w:hint="eastAsia" w:ascii="宋体" w:hAnsi="宋体" w:eastAsia="宋体"/>
              </w:rPr>
            </w:pPr>
            <w:r>
              <w:rPr>
                <w:rFonts w:hint="eastAsia" w:ascii="楷体" w:hAnsi="楷体" w:eastAsia="楷体"/>
              </w:rPr>
              <w:t>具象2：</w:t>
            </w:r>
            <w:r>
              <w:rPr>
                <w:rFonts w:hint="eastAsia" w:ascii="宋体" w:hAnsi="宋体" w:eastAsia="宋体"/>
              </w:rPr>
              <w:t>2023年、2024年、2025年本专业开展用人单位调研</w:t>
            </w:r>
          </w:p>
          <w:p w14:paraId="40527548">
            <w:pPr>
              <w:adjustRightInd w:val="0"/>
              <w:snapToGrid w:val="0"/>
              <w:jc w:val="left"/>
              <w:rPr>
                <w:rFonts w:hint="eastAsia" w:ascii="楷体" w:hAnsi="楷体" w:eastAsia="楷体" w:cs="宋体"/>
                <w:color w:val="000000"/>
                <w:kern w:val="0"/>
              </w:rPr>
            </w:pPr>
            <w:r>
              <w:rPr>
                <w:rFonts w:hint="eastAsia" w:ascii="楷体" w:hAnsi="楷体" w:eastAsia="楷体"/>
              </w:rPr>
              <w:t>具象3：</w:t>
            </w:r>
            <w:r>
              <w:rPr>
                <w:rFonts w:hint="eastAsia" w:ascii="宋体" w:hAnsi="宋体" w:eastAsia="宋体"/>
              </w:rPr>
              <w:t>2023年、2024年、2025年本专业委托麦可思公司、无锡市机械工业联合会进行了专业培养目标达成情况评价</w:t>
            </w:r>
          </w:p>
        </w:tc>
        <w:tc>
          <w:tcPr>
            <w:tcW w:w="4684" w:type="dxa"/>
            <w:tcMar>
              <w:top w:w="57" w:type="dxa"/>
              <w:left w:w="108" w:type="dxa"/>
              <w:bottom w:w="57" w:type="dxa"/>
              <w:right w:w="108" w:type="dxa"/>
            </w:tcMar>
            <w:vAlign w:val="center"/>
          </w:tcPr>
          <w:p w14:paraId="366A303C">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毕业生随访反馈、毕业生用人单位评价与反馈制度汇总文本，制度执行记录；近三年专业毕业生基本信息和就业状况汇总表；近三年毕业生、用人单位对专业培养目标达成情况的反馈分析报告</w:t>
            </w:r>
          </w:p>
          <w:p w14:paraId="22C948E9">
            <w:pPr>
              <w:adjustRightInd w:val="0"/>
              <w:snapToGrid w:val="0"/>
              <w:rPr>
                <w:rFonts w:hint="eastAsia" w:ascii="宋体" w:hAnsi="宋体" w:eastAsia="宋体"/>
              </w:rPr>
            </w:pPr>
            <w:r>
              <w:rPr>
                <w:rFonts w:hint="eastAsia" w:ascii="楷体" w:hAnsi="楷体" w:eastAsia="楷体"/>
              </w:rPr>
              <w:t>具象1：</w:t>
            </w:r>
            <w:r>
              <w:rPr>
                <w:rFonts w:hint="eastAsia" w:ascii="宋体" w:hAnsi="宋体" w:eastAsia="宋体"/>
              </w:rPr>
              <w:t>学校毕业生随访制度文本（非正式发布文件）</w:t>
            </w:r>
          </w:p>
          <w:p w14:paraId="1EFEE7B1">
            <w:pPr>
              <w:adjustRightInd w:val="0"/>
              <w:snapToGrid w:val="0"/>
              <w:rPr>
                <w:rFonts w:hint="eastAsia" w:ascii="宋体" w:hAnsi="宋体" w:eastAsia="宋体"/>
              </w:rPr>
            </w:pPr>
            <w:r>
              <w:rPr>
                <w:rFonts w:hint="eastAsia" w:ascii="楷体" w:hAnsi="楷体" w:eastAsia="楷体"/>
              </w:rPr>
              <w:t>具象2：</w:t>
            </w:r>
            <w:r>
              <w:rPr>
                <w:rFonts w:hint="eastAsia" w:ascii="宋体" w:hAnsi="宋体" w:eastAsia="宋体"/>
              </w:rPr>
              <w:t>同</w:t>
            </w:r>
            <w:r>
              <w:rPr>
                <w:rFonts w:hint="eastAsia" w:ascii="宋体" w:hAnsi="宋体" w:eastAsia="宋体" w:cs="宋体"/>
                <w:color w:val="000000"/>
                <w:kern w:val="0"/>
              </w:rPr>
              <w:t>3.1总体要求之判断依据具象3</w:t>
            </w:r>
            <w:r>
              <w:rPr>
                <w:rFonts w:hint="eastAsia" w:ascii="宋体" w:hAnsi="宋体" w:eastAsia="宋体"/>
              </w:rPr>
              <w:t xml:space="preserve"> （样本数少）</w:t>
            </w:r>
          </w:p>
          <w:p w14:paraId="340B2AFF">
            <w:pPr>
              <w:adjustRightInd w:val="0"/>
              <w:snapToGrid w:val="0"/>
              <w:rPr>
                <w:rFonts w:hint="eastAsia" w:ascii="楷体" w:hAnsi="楷体" w:eastAsia="楷体" w:cs="宋体"/>
                <w:color w:val="000000"/>
                <w:kern w:val="0"/>
              </w:rPr>
            </w:pPr>
            <w:r>
              <w:rPr>
                <w:rFonts w:hint="eastAsia" w:ascii="楷体" w:hAnsi="楷体" w:eastAsia="楷体"/>
              </w:rPr>
              <w:t>具象3：</w:t>
            </w:r>
            <w:r>
              <w:rPr>
                <w:rFonts w:hint="eastAsia" w:ascii="宋体" w:hAnsi="宋体" w:eastAsia="宋体"/>
              </w:rPr>
              <w:t>2023年、2024年、2025年第三方机构对本专业培养目标达成情况评价（年份有缺漏）</w:t>
            </w:r>
          </w:p>
        </w:tc>
      </w:tr>
      <w:tr w14:paraId="0FDDF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0108AD0D">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4E36C51">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63BF39CA">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3A18E1EF">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采信情况：学校文件、专业报送文件材料和学校网站信息，部分采信</w:t>
            </w:r>
          </w:p>
          <w:p w14:paraId="67A068B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查证结果：B</w:t>
            </w:r>
          </w:p>
        </w:tc>
      </w:tr>
      <w:tr w14:paraId="6691F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50FE3DD2">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449674C2">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6.3反馈与改进</w:t>
            </w:r>
          </w:p>
        </w:tc>
        <w:tc>
          <w:tcPr>
            <w:tcW w:w="2976" w:type="dxa"/>
            <w:tcMar>
              <w:top w:w="57" w:type="dxa"/>
              <w:left w:w="108" w:type="dxa"/>
              <w:bottom w:w="57" w:type="dxa"/>
              <w:right w:w="108" w:type="dxa"/>
            </w:tcMar>
            <w:vAlign w:val="center"/>
          </w:tcPr>
          <w:p w14:paraId="5B0A1DA7">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定期对内部与外部评价结果进行综合分析，评价结果被用于专业与课程的诊断与改进</w:t>
            </w:r>
          </w:p>
          <w:p w14:paraId="2E206E14">
            <w:pPr>
              <w:adjustRightInd w:val="0"/>
              <w:snapToGrid w:val="0"/>
              <w:jc w:val="left"/>
              <w:rPr>
                <w:rFonts w:hint="eastAsia" w:ascii="楷体" w:hAnsi="楷体" w:eastAsia="楷体" w:cs="宋体"/>
                <w:color w:val="000000"/>
                <w:kern w:val="0"/>
              </w:rPr>
            </w:pPr>
            <w:r>
              <w:rPr>
                <w:rFonts w:hint="eastAsia" w:ascii="楷体" w:hAnsi="楷体" w:eastAsia="楷体"/>
              </w:rPr>
              <w:t>具象1：</w:t>
            </w:r>
            <w:r>
              <w:rPr>
                <w:rFonts w:hint="eastAsia" w:ascii="宋体" w:hAnsi="宋体" w:eastAsia="宋体"/>
              </w:rPr>
              <w:t>2023年、2024年、2025年本专业开展内外部评价结果分析活动，并用于培养目标、毕业要求达成、课程体系、教学实施的持续改进</w:t>
            </w:r>
          </w:p>
        </w:tc>
        <w:tc>
          <w:tcPr>
            <w:tcW w:w="4684" w:type="dxa"/>
            <w:tcMar>
              <w:top w:w="57" w:type="dxa"/>
              <w:left w:w="108" w:type="dxa"/>
              <w:bottom w:w="57" w:type="dxa"/>
              <w:right w:w="108" w:type="dxa"/>
            </w:tcMar>
            <w:vAlign w:val="center"/>
          </w:tcPr>
          <w:p w14:paraId="2D2BCA03">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针对内部与外部评价的专题教研活记录，对发现的问题所采取的措施；各种监控与评价结果被用于近三年培养目标、毕业要求、课程体系、教学实施等持续改进的汇总材料；近三年课程、专业诊断与改进报告，毕业要求达成情况分析报告</w:t>
            </w:r>
          </w:p>
          <w:p w14:paraId="03F19947">
            <w:pPr>
              <w:adjustRightInd w:val="0"/>
              <w:snapToGrid w:val="0"/>
              <w:rPr>
                <w:rFonts w:hint="eastAsia" w:ascii="楷体" w:hAnsi="楷体" w:eastAsia="楷体" w:cs="宋体"/>
                <w:color w:val="000000"/>
                <w:kern w:val="0"/>
              </w:rPr>
            </w:pPr>
            <w:r>
              <w:rPr>
                <w:rFonts w:hint="eastAsia" w:ascii="楷体" w:hAnsi="楷体" w:eastAsia="楷体"/>
              </w:rPr>
              <w:t>具象1：同</w:t>
            </w:r>
            <w:r>
              <w:rPr>
                <w:rFonts w:hint="eastAsia" w:ascii="宋体" w:hAnsi="宋体" w:eastAsia="宋体" w:cs="宋体"/>
                <w:color w:val="000000"/>
                <w:kern w:val="0"/>
              </w:rPr>
              <w:t>2.2目标修订之判断依据具象1和具象2（均涉及了评价结果分析和改进记录）</w:t>
            </w:r>
            <w:r>
              <w:rPr>
                <w:rFonts w:hint="eastAsia" w:ascii="楷体" w:hAnsi="楷体" w:eastAsia="楷体" w:cs="宋体"/>
                <w:color w:val="000000"/>
                <w:kern w:val="0"/>
              </w:rPr>
              <w:t xml:space="preserve"> </w:t>
            </w:r>
          </w:p>
        </w:tc>
      </w:tr>
      <w:tr w14:paraId="1A0CC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08D11158">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57930BA6">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3F32BF5D">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18E42762">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采信情况：专业报送材料及学校网站信息，采信</w:t>
            </w:r>
          </w:p>
          <w:p w14:paraId="03C790D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36F8F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76812C87">
            <w:pPr>
              <w:adjustRightInd w:val="0"/>
              <w:snapToGrid w:val="0"/>
              <w:ind w:firstLine="0" w:firstLineChars="0"/>
              <w:jc w:val="left"/>
              <w:rPr>
                <w:rFonts w:hint="eastAsia" w:ascii="宋体" w:hAnsi="宋体" w:eastAsia="宋体" w:cs="宋体"/>
                <w:color w:val="000000"/>
                <w:kern w:val="0"/>
              </w:rPr>
            </w:pPr>
            <w:r>
              <w:t>7</w:t>
            </w:r>
            <w:r>
              <w:rPr>
                <w:rFonts w:hint="eastAsia"/>
              </w:rPr>
              <w:t>师资队伍</w:t>
            </w:r>
          </w:p>
        </w:tc>
        <w:tc>
          <w:tcPr>
            <w:tcW w:w="1261" w:type="dxa"/>
            <w:tcMar>
              <w:top w:w="57" w:type="dxa"/>
              <w:left w:w="108" w:type="dxa"/>
              <w:bottom w:w="57" w:type="dxa"/>
              <w:right w:w="108" w:type="dxa"/>
            </w:tcMar>
            <w:vAlign w:val="center"/>
          </w:tcPr>
          <w:p w14:paraId="5496397E">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7.1团队结构与建设机制</w:t>
            </w:r>
          </w:p>
        </w:tc>
        <w:tc>
          <w:tcPr>
            <w:tcW w:w="2976" w:type="dxa"/>
            <w:tcMar>
              <w:top w:w="57" w:type="dxa"/>
              <w:left w:w="108" w:type="dxa"/>
              <w:bottom w:w="57" w:type="dxa"/>
              <w:right w:w="108" w:type="dxa"/>
            </w:tcMar>
            <w:vAlign w:val="center"/>
          </w:tcPr>
          <w:p w14:paraId="222879C1">
            <w:pPr>
              <w:adjustRightInd w:val="0"/>
              <w:snapToGrid w:val="0"/>
              <w:jc w:val="left"/>
              <w:rPr>
                <w:rFonts w:hint="eastAsia"/>
              </w:rPr>
            </w:pPr>
            <w:r>
              <w:rPr>
                <w:rFonts w:hint="eastAsia" w:ascii="楷体" w:hAnsi="楷体" w:eastAsia="楷体" w:cs="宋体"/>
                <w:color w:val="000000"/>
                <w:kern w:val="0"/>
              </w:rPr>
              <w:t>判断基准：</w:t>
            </w:r>
            <w:r>
              <w:rPr>
                <w:rFonts w:hint="eastAsia"/>
              </w:rPr>
              <w:t>学校建立完善的教师队伍建设与管理机制；专业生师比不高于25：1；“双师型”教师占专业课教师数比例不低于60%；高级职称专任教师的比例不低于20%</w:t>
            </w:r>
          </w:p>
          <w:p w14:paraId="05D3B8EF">
            <w:pPr>
              <w:adjustRightInd w:val="0"/>
              <w:snapToGrid w:val="0"/>
              <w:jc w:val="left"/>
              <w:rPr>
                <w:rFonts w:hint="eastAsia"/>
              </w:rPr>
            </w:pPr>
            <w:r>
              <w:rPr>
                <w:rFonts w:hint="eastAsia" w:ascii="楷体" w:hAnsi="楷体" w:eastAsia="楷体"/>
                <w:color w:val="000000"/>
                <w:kern w:val="0"/>
              </w:rPr>
              <w:t>具象1：</w:t>
            </w:r>
            <w:r>
              <w:rPr>
                <w:rFonts w:hint="eastAsia"/>
              </w:rPr>
              <w:t>学校设立教师工作部，制定了无锡职业技术学院双师型教师认定标准等制度</w:t>
            </w:r>
          </w:p>
          <w:p w14:paraId="266A57CE">
            <w:pPr>
              <w:adjustRightInd w:val="0"/>
              <w:snapToGrid w:val="0"/>
              <w:jc w:val="left"/>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：2023年、2024年、2025年本专业师比为17.7:1</w:t>
            </w:r>
          </w:p>
          <w:p w14:paraId="58B74F67">
            <w:pPr>
              <w:adjustRightInd w:val="0"/>
              <w:snapToGrid w:val="0"/>
              <w:jc w:val="left"/>
              <w:rPr>
                <w:rFonts w:hint="eastAsia" w:ascii="宋体" w:hAnsi="宋体" w:eastAsia="宋体"/>
                <w:color w:val="000000"/>
                <w:kern w:val="0"/>
              </w:rPr>
            </w:pPr>
            <w:r>
              <w:rPr>
                <w:rFonts w:hint="eastAsia" w:ascii="楷体" w:hAnsi="楷体" w:eastAsia="楷体"/>
                <w:color w:val="000000"/>
                <w:kern w:val="0"/>
              </w:rPr>
              <w:t>具象3：</w:t>
            </w:r>
            <w:r>
              <w:rPr>
                <w:rFonts w:hint="eastAsia" w:ascii="宋体" w:hAnsi="宋体" w:eastAsia="宋体"/>
                <w:color w:val="000000"/>
                <w:kern w:val="0"/>
              </w:rPr>
              <w:t>2023年、2024年、2025年本专业“双师型”教师占专业课教师数比例为88.2%</w:t>
            </w:r>
          </w:p>
          <w:p w14:paraId="0B6E0CE5">
            <w:pPr>
              <w:adjustRightInd w:val="0"/>
              <w:snapToGrid w:val="0"/>
              <w:jc w:val="left"/>
              <w:rPr>
                <w:rFonts w:hint="eastAsia" w:ascii="楷体" w:hAnsi="楷体" w:eastAsia="楷体" w:cs="宋体"/>
                <w:color w:val="000000"/>
                <w:kern w:val="0"/>
              </w:rPr>
            </w:pPr>
            <w:r>
              <w:rPr>
                <w:rFonts w:hint="eastAsia" w:ascii="楷体" w:hAnsi="楷体" w:eastAsia="楷体"/>
                <w:color w:val="000000"/>
                <w:kern w:val="0"/>
              </w:rPr>
              <w:t>具象4：</w:t>
            </w:r>
            <w:r>
              <w:rPr>
                <w:rFonts w:hint="eastAsia" w:ascii="宋体" w:hAnsi="宋体" w:eastAsia="宋体"/>
                <w:color w:val="000000"/>
                <w:kern w:val="0"/>
              </w:rPr>
              <w:t>本专业高级职称专任教师的比例为53%</w:t>
            </w:r>
          </w:p>
        </w:tc>
        <w:tc>
          <w:tcPr>
            <w:tcW w:w="4684" w:type="dxa"/>
            <w:tcMar>
              <w:top w:w="57" w:type="dxa"/>
              <w:left w:w="108" w:type="dxa"/>
              <w:bottom w:w="57" w:type="dxa"/>
              <w:right w:w="108" w:type="dxa"/>
            </w:tcMar>
            <w:vAlign w:val="center"/>
          </w:tcPr>
          <w:p w14:paraId="17F164F1">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包括专业教学团队培育与考核制度在内的师资队伍建设与管理制度汇总材料；近三年专业教师基本信息表、专业在校生信息表，专业生师比统计分析材料；近三年专业课程表，教师课程表、教学工作量表等；近三年“双师型”教师占专业课教师数比例统计分析材料；近三年高级职称专任教师的比例统计分析材料</w:t>
            </w:r>
          </w:p>
          <w:p w14:paraId="22BA2A6C">
            <w:pPr>
              <w:adjustRightInd w:val="0"/>
              <w:snapToGrid w:val="0"/>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无锡职业技术学院双师型教师认定标准文件</w:t>
            </w:r>
          </w:p>
          <w:p w14:paraId="5AFA45E7">
            <w:pPr>
              <w:adjustRightInd w:val="0"/>
              <w:snapToGrid w:val="0"/>
              <w:ind w:left="-29" w:leftChars="-16"/>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2023年、2024年、2025年本专业教师基本信息表（机械学院教学归档资料，包括双师型教师、高级职称教师、具有博士学历教师、高等学校教师资格证书、技能等级证书、学历证书等），本专业在校生数报表（状态平台数据采集平台）</w:t>
            </w:r>
          </w:p>
          <w:p w14:paraId="4E58927F">
            <w:pPr>
              <w:adjustRightInd w:val="0"/>
              <w:snapToGrid w:val="0"/>
              <w:ind w:left="-29" w:leftChars="-16"/>
              <w:rPr>
                <w:rFonts w:hint="eastAsia" w:ascii="宋体" w:hAnsi="宋体" w:eastAsia="宋体"/>
                <w:color w:val="000000"/>
                <w:kern w:val="0"/>
              </w:rPr>
            </w:pPr>
            <w:r>
              <w:rPr>
                <w:rFonts w:hint="eastAsia" w:ascii="楷体" w:hAnsi="楷体" w:eastAsia="楷体"/>
                <w:color w:val="000000"/>
                <w:kern w:val="0"/>
              </w:rPr>
              <w:t>具象3：</w:t>
            </w:r>
            <w:r>
              <w:rPr>
                <w:rFonts w:hint="eastAsia" w:ascii="宋体" w:hAnsi="宋体" w:eastAsia="宋体"/>
                <w:color w:val="000000"/>
                <w:kern w:val="0"/>
              </w:rPr>
              <w:t>2023年、2024年、2025年本专业任课教师教学工作量报表（机械学院教学归档资料）</w:t>
            </w:r>
          </w:p>
        </w:tc>
      </w:tr>
      <w:tr w14:paraId="2A5D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08CEECFC">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056631C1">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3C8F610D">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具象与依据：基本符合</w:t>
            </w:r>
          </w:p>
          <w:p w14:paraId="638B027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采信情况：制度文件和状态平台数据，2023年生师比为16.4%，2023年生师比为16.4%，2023年生师比为16.4%</w:t>
            </w:r>
          </w:p>
          <w:p w14:paraId="66E99745">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A</w:t>
            </w:r>
          </w:p>
        </w:tc>
      </w:tr>
      <w:tr w14:paraId="57107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4FBB2826">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5A002134">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7.2教学资质与能力</w:t>
            </w:r>
          </w:p>
        </w:tc>
        <w:tc>
          <w:tcPr>
            <w:tcW w:w="2976" w:type="dxa"/>
            <w:tcMar>
              <w:top w:w="57" w:type="dxa"/>
              <w:left w:w="108" w:type="dxa"/>
              <w:bottom w:w="57" w:type="dxa"/>
              <w:right w:w="108" w:type="dxa"/>
            </w:tcMar>
            <w:vAlign w:val="center"/>
          </w:tcPr>
          <w:p w14:paraId="5206BB34">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专业教师具有良好的师德师风，教学与研究能力能满足专业教学与改革的需求；专业带头人为具有副高及以上职称的“双师型”教师</w:t>
            </w:r>
          </w:p>
          <w:p w14:paraId="6748A8A2">
            <w:pPr>
              <w:adjustRightInd w:val="0"/>
              <w:snapToGrid w:val="0"/>
              <w:jc w:val="left"/>
              <w:rPr>
                <w:rFonts w:hint="eastAsia"/>
                <w:color w:val="000000"/>
                <w:kern w:val="0"/>
              </w:rPr>
            </w:pPr>
            <w:r>
              <w:rPr>
                <w:rFonts w:hint="eastAsia" w:ascii="楷体" w:hAnsi="楷体" w:eastAsia="楷体"/>
                <w:color w:val="000000"/>
                <w:kern w:val="0"/>
              </w:rPr>
              <w:t>具象1：</w:t>
            </w:r>
            <w:r>
              <w:rPr>
                <w:rFonts w:hint="eastAsia"/>
                <w:color w:val="000000"/>
                <w:kern w:val="0"/>
              </w:rPr>
              <w:t>本专业教师完成的教学与研究项目</w:t>
            </w:r>
          </w:p>
          <w:p w14:paraId="697A3A85">
            <w:pPr>
              <w:adjustRightInd w:val="0"/>
              <w:snapToGrid w:val="0"/>
              <w:jc w:val="left"/>
              <w:rPr>
                <w:rFonts w:hint="eastAsia" w:ascii="楷体" w:hAnsi="楷体" w:eastAsia="楷体" w:cs="宋体"/>
                <w:color w:val="000000"/>
                <w:kern w:val="0"/>
              </w:rPr>
            </w:pPr>
            <w:r>
              <w:rPr>
                <w:rFonts w:hint="eastAsia"/>
                <w:color w:val="000000"/>
                <w:kern w:val="0"/>
              </w:rPr>
              <w:t>具象2：本专业带头人为XXX教授</w:t>
            </w:r>
          </w:p>
        </w:tc>
        <w:tc>
          <w:tcPr>
            <w:tcW w:w="4684" w:type="dxa"/>
            <w:tcMar>
              <w:top w:w="57" w:type="dxa"/>
              <w:left w:w="108" w:type="dxa"/>
              <w:bottom w:w="57" w:type="dxa"/>
              <w:right w:w="108" w:type="dxa"/>
            </w:tcMar>
            <w:vAlign w:val="center"/>
          </w:tcPr>
          <w:p w14:paraId="11240132">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教师持有的省市级认定机构颁发的高等学校教师资格证书、大学本科及以上毕业学历的统计分析材料；近三年专业教师结项的校级或以上教学研究项目、发表的教学研究论文的汇总材料；近三年新入职专业教师和新聘的兼职教师接受教学基本规范培训，取得校级及以上的合格证书的汇总材料；近五年专业教师持有与本专业相关的专业或职业技能等证书汇总材料；专业带头人基本情况表和任命文件</w:t>
            </w:r>
          </w:p>
          <w:p w14:paraId="2D4E9ED3">
            <w:pPr>
              <w:adjustRightInd w:val="0"/>
              <w:snapToGrid w:val="0"/>
              <w:rPr>
                <w:rFonts w:hint="eastAsia" w:ascii="楷体" w:hAnsi="楷体" w:eastAsia="楷体"/>
                <w:color w:val="000000"/>
                <w:kern w:val="0"/>
              </w:rPr>
            </w:pPr>
            <w:r>
              <w:rPr>
                <w:rFonts w:hint="eastAsia" w:ascii="楷体" w:hAnsi="楷体" w:eastAsia="楷体"/>
                <w:color w:val="000000"/>
                <w:kern w:val="0"/>
              </w:rPr>
              <w:t>具象1：</w:t>
            </w:r>
            <w:r>
              <w:rPr>
                <w:rFonts w:hint="eastAsia"/>
                <w:color w:val="000000"/>
                <w:kern w:val="0"/>
              </w:rPr>
              <w:t>同</w:t>
            </w:r>
            <w:r>
              <w:rPr>
                <w:rFonts w:hint="eastAsia"/>
              </w:rPr>
              <w:t>7.1</w:t>
            </w:r>
            <w:r>
              <w:rPr>
                <w:rFonts w:hint="eastAsia" w:ascii="宋体" w:hAnsi="宋体" w:eastAsia="宋体"/>
              </w:rPr>
              <w:t>团队结构与建设机制判断依据之具象2</w:t>
            </w:r>
          </w:p>
          <w:p w14:paraId="3C2FDF51">
            <w:pPr>
              <w:adjustRightInd w:val="0"/>
              <w:snapToGrid w:val="0"/>
              <w:rPr>
                <w:rFonts w:hint="eastAsia" w:ascii="楷体" w:hAnsi="楷体" w:eastAsia="楷体"/>
                <w:color w:val="000000"/>
                <w:kern w:val="0"/>
              </w:rPr>
            </w:pPr>
            <w:r>
              <w:rPr>
                <w:rFonts w:hint="eastAsia" w:ascii="楷体" w:hAnsi="楷体" w:eastAsia="楷体"/>
                <w:color w:val="000000"/>
                <w:kern w:val="0"/>
              </w:rPr>
              <w:t>具象2：</w:t>
            </w:r>
            <w:r>
              <w:rPr>
                <w:rFonts w:hint="eastAsia" w:ascii="宋体" w:hAnsi="宋体" w:eastAsia="宋体"/>
                <w:color w:val="000000"/>
                <w:kern w:val="0"/>
              </w:rPr>
              <w:t>本专业教师结项的校级或以上教学研究项目立项书和结题书、发表的教学研究论文报表（知网查阅）</w:t>
            </w:r>
          </w:p>
          <w:p w14:paraId="1396F807">
            <w:pPr>
              <w:adjustRightInd w:val="0"/>
              <w:snapToGrid w:val="0"/>
              <w:rPr>
                <w:rFonts w:hint="eastAsia"/>
                <w:color w:val="000000"/>
                <w:kern w:val="0"/>
              </w:rPr>
            </w:pPr>
            <w:r>
              <w:rPr>
                <w:rFonts w:hint="eastAsia" w:ascii="楷体" w:hAnsi="楷体" w:eastAsia="楷体"/>
                <w:color w:val="000000"/>
                <w:kern w:val="0"/>
              </w:rPr>
              <w:t>具象3：</w:t>
            </w:r>
            <w:r>
              <w:rPr>
                <w:rFonts w:hint="eastAsia"/>
                <w:color w:val="000000"/>
                <w:kern w:val="0"/>
              </w:rPr>
              <w:t>2023年、2024年、2025年新入职专业教师和新聘的兼职教师接受教学基本规范培训记录（教师工作部归档资料）</w:t>
            </w:r>
          </w:p>
          <w:p w14:paraId="21B5D09A">
            <w:pPr>
              <w:adjustRightInd w:val="0"/>
              <w:snapToGrid w:val="0"/>
              <w:rPr>
                <w:rFonts w:hint="eastAsia" w:ascii="楷体" w:hAnsi="楷体" w:eastAsia="楷体" w:cs="宋体"/>
                <w:color w:val="000000"/>
                <w:kern w:val="0"/>
              </w:rPr>
            </w:pPr>
            <w:r>
              <w:rPr>
                <w:rFonts w:hint="eastAsia" w:ascii="楷体" w:hAnsi="楷体" w:eastAsia="楷体"/>
                <w:color w:val="000000"/>
                <w:kern w:val="0"/>
              </w:rPr>
              <w:t>具象4：XXX</w:t>
            </w:r>
            <w:r>
              <w:rPr>
                <w:rFonts w:hint="eastAsia"/>
                <w:color w:val="000000"/>
                <w:kern w:val="0"/>
              </w:rPr>
              <w:t>教授专业带头人任命书</w:t>
            </w:r>
          </w:p>
        </w:tc>
      </w:tr>
      <w:tr w14:paraId="03F49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2D96E6A0">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11A57A1">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3AA06440">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具象与依据：基本符合</w:t>
            </w:r>
          </w:p>
          <w:p w14:paraId="3632BDE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采信情况：走访教师工作部核对报表，查阅知网等，采信</w:t>
            </w:r>
          </w:p>
          <w:p w14:paraId="53ABE17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A</w:t>
            </w:r>
          </w:p>
        </w:tc>
      </w:tr>
      <w:tr w14:paraId="0A94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587BF995">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2722B40E">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7.3实践经历</w:t>
            </w:r>
          </w:p>
        </w:tc>
        <w:tc>
          <w:tcPr>
            <w:tcW w:w="2976" w:type="dxa"/>
            <w:tcMar>
              <w:top w:w="57" w:type="dxa"/>
              <w:left w:w="108" w:type="dxa"/>
              <w:bottom w:w="57" w:type="dxa"/>
              <w:right w:w="108" w:type="dxa"/>
            </w:tcMar>
            <w:vAlign w:val="center"/>
          </w:tcPr>
          <w:p w14:paraId="79623847">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专业教师具有企业工作经历，每五年至少有6个月的机械行业生产、服务、研发等企业实践经历；专业教师能贴近产业需求开展实践教学、面向企业提供技术服务</w:t>
            </w:r>
          </w:p>
          <w:p w14:paraId="4815E8AA">
            <w:pPr>
              <w:adjustRightInd w:val="0"/>
              <w:snapToGrid w:val="0"/>
              <w:ind w:left="-29" w:leftChars="-16"/>
              <w:jc w:val="left"/>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专业教师每五年至少有</w:t>
            </w:r>
            <w:r>
              <w:rPr>
                <w:rFonts w:ascii="宋体" w:hAnsi="宋体" w:eastAsia="宋体"/>
                <w:color w:val="000000"/>
                <w:kern w:val="0"/>
              </w:rPr>
              <w:t>6个月的企业实践经历</w:t>
            </w:r>
          </w:p>
          <w:p w14:paraId="0B8B98C1">
            <w:pPr>
              <w:adjustRightInd w:val="0"/>
              <w:snapToGrid w:val="0"/>
              <w:ind w:left="-29" w:leftChars="-16"/>
              <w:jc w:val="left"/>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教师</w:t>
            </w:r>
            <w:r>
              <w:rPr>
                <w:rFonts w:hint="eastAsia"/>
                <w:color w:val="000000"/>
                <w:kern w:val="0"/>
              </w:rPr>
              <w:t>2023年、2024年、2025年</w:t>
            </w:r>
            <w:r>
              <w:rPr>
                <w:rFonts w:hint="eastAsia" w:ascii="宋体" w:hAnsi="宋体" w:eastAsia="宋体"/>
                <w:color w:val="000000"/>
                <w:kern w:val="0"/>
              </w:rPr>
              <w:t>源自模具企业案例开展实践教学</w:t>
            </w:r>
          </w:p>
          <w:p w14:paraId="056FD32C">
            <w:pPr>
              <w:adjustRightInd w:val="0"/>
              <w:snapToGrid w:val="0"/>
              <w:ind w:left="-29" w:leftChars="-16"/>
              <w:jc w:val="left"/>
              <w:rPr>
                <w:rFonts w:hint="eastAsia" w:ascii="楷体" w:hAnsi="楷体" w:eastAsia="楷体" w:cs="宋体"/>
                <w:color w:val="000000"/>
                <w:kern w:val="0"/>
              </w:rPr>
            </w:pPr>
            <w:r>
              <w:rPr>
                <w:rFonts w:hint="eastAsia" w:ascii="楷体" w:hAnsi="楷体" w:eastAsia="楷体"/>
                <w:color w:val="000000"/>
                <w:kern w:val="0"/>
              </w:rPr>
              <w:t>具象3：</w:t>
            </w:r>
            <w:r>
              <w:rPr>
                <w:rFonts w:hint="eastAsia" w:ascii="宋体" w:hAnsi="宋体" w:eastAsia="宋体"/>
                <w:color w:val="000000"/>
                <w:kern w:val="0"/>
              </w:rPr>
              <w:t>教师</w:t>
            </w:r>
            <w:r>
              <w:rPr>
                <w:rFonts w:hint="eastAsia"/>
                <w:color w:val="000000"/>
                <w:kern w:val="0"/>
              </w:rPr>
              <w:t>2023年、2024年、2025年</w:t>
            </w:r>
            <w:r>
              <w:rPr>
                <w:rFonts w:hint="eastAsia" w:ascii="宋体" w:hAnsi="宋体" w:eastAsia="宋体"/>
                <w:color w:val="000000"/>
                <w:kern w:val="0"/>
              </w:rPr>
              <w:t>面向企业提供技术服务</w:t>
            </w:r>
          </w:p>
        </w:tc>
        <w:tc>
          <w:tcPr>
            <w:tcW w:w="4684" w:type="dxa"/>
            <w:tcMar>
              <w:top w:w="57" w:type="dxa"/>
              <w:left w:w="108" w:type="dxa"/>
              <w:bottom w:w="57" w:type="dxa"/>
              <w:right w:w="108" w:type="dxa"/>
            </w:tcMar>
            <w:vAlign w:val="center"/>
          </w:tcPr>
          <w:p w14:paraId="2E04F529">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近五年专业教师参与机械行业生产、服务、研发等企业实践经历的过程性记录与汇总材料；近五年专业教师面向企业提供技术服务统计材料，以及取得的技术服务成果材料</w:t>
            </w:r>
          </w:p>
          <w:p w14:paraId="0F3DE5E3">
            <w:pPr>
              <w:adjustRightInd w:val="0"/>
              <w:snapToGrid w:val="0"/>
              <w:spacing w:line="300" w:lineRule="exact"/>
              <w:ind w:left="-29" w:leftChars="-16"/>
              <w:rPr>
                <w:rFonts w:hint="eastAsia" w:ascii="宋体" w:hAnsi="宋体" w:eastAsia="宋体"/>
                <w:color w:val="000000"/>
                <w:kern w:val="0"/>
              </w:rPr>
            </w:pPr>
            <w:r>
              <w:rPr>
                <w:rFonts w:hint="eastAsia" w:ascii="楷体" w:hAnsi="楷体" w:eastAsia="楷体"/>
                <w:color w:val="000000"/>
                <w:kern w:val="0"/>
              </w:rPr>
              <w:t>具象1：</w:t>
            </w:r>
            <w:r>
              <w:rPr>
                <w:rFonts w:hint="eastAsia" w:ascii="宋体" w:hAnsi="宋体" w:eastAsia="宋体"/>
                <w:color w:val="000000"/>
                <w:kern w:val="0"/>
              </w:rPr>
              <w:t>近五年专业教师至少6个月企业实践经历证明（校企协议，完成的企业课题立项书和结题验收书，企业项目到帐凭证，企业人事考勤凭证）</w:t>
            </w:r>
          </w:p>
          <w:p w14:paraId="54A8ED96">
            <w:pPr>
              <w:adjustRightInd w:val="0"/>
              <w:snapToGrid w:val="0"/>
              <w:rPr>
                <w:rFonts w:hint="eastAsia" w:ascii="宋体" w:hAnsi="宋体" w:eastAsia="宋体"/>
                <w:color w:val="000000"/>
                <w:kern w:val="0"/>
              </w:rPr>
            </w:pPr>
            <w:r>
              <w:rPr>
                <w:rFonts w:hint="eastAsia" w:ascii="楷体" w:hAnsi="楷体" w:eastAsia="楷体"/>
                <w:color w:val="000000"/>
                <w:kern w:val="0"/>
              </w:rPr>
              <w:t>具象2</w:t>
            </w:r>
            <w:r>
              <w:rPr>
                <w:rFonts w:hint="eastAsia" w:ascii="宋体" w:hAnsi="宋体" w:eastAsia="宋体"/>
                <w:color w:val="000000"/>
                <w:kern w:val="0"/>
              </w:rPr>
              <w:t>：</w:t>
            </w:r>
            <w:r>
              <w:rPr>
                <w:rFonts w:hint="eastAsia"/>
                <w:color w:val="000000"/>
                <w:kern w:val="0"/>
              </w:rPr>
              <w:t>2023年、2024年、2025年</w:t>
            </w:r>
            <w:r>
              <w:rPr>
                <w:rFonts w:hint="eastAsia" w:ascii="宋体" w:hAnsi="宋体" w:eastAsia="宋体"/>
                <w:color w:val="000000"/>
                <w:kern w:val="0"/>
              </w:rPr>
              <w:t>源自模具企业案例进入课程开发资源（学校教务处验收单、相应课程标准内容审核，相应教学日志执行记录）</w:t>
            </w:r>
          </w:p>
          <w:p w14:paraId="6FAF6F34">
            <w:pPr>
              <w:adjustRightInd w:val="0"/>
              <w:snapToGrid w:val="0"/>
              <w:rPr>
                <w:rFonts w:hint="eastAsia"/>
                <w:color w:val="000000"/>
                <w:kern w:val="0"/>
              </w:rPr>
            </w:pPr>
            <w:r>
              <w:rPr>
                <w:rFonts w:hint="eastAsia" w:ascii="楷体" w:hAnsi="楷体" w:eastAsia="楷体"/>
                <w:color w:val="000000"/>
                <w:kern w:val="0"/>
              </w:rPr>
              <w:t>具象3</w:t>
            </w:r>
            <w:r>
              <w:rPr>
                <w:rFonts w:hint="eastAsia" w:ascii="宋体" w:hAnsi="宋体" w:eastAsia="宋体"/>
                <w:color w:val="000000"/>
                <w:kern w:val="0"/>
              </w:rPr>
              <w:t>：</w:t>
            </w:r>
            <w:r>
              <w:rPr>
                <w:rFonts w:hint="eastAsia"/>
                <w:color w:val="000000"/>
                <w:kern w:val="0"/>
              </w:rPr>
              <w:t>2023年、2024年、2025年面向企业技术服务项目合同，账务到帐凭证</w:t>
            </w:r>
          </w:p>
          <w:p w14:paraId="384A0452">
            <w:pPr>
              <w:adjustRightInd w:val="0"/>
              <w:snapToGrid w:val="0"/>
              <w:rPr>
                <w:rFonts w:hint="eastAsia" w:ascii="楷体" w:hAnsi="楷体" w:eastAsia="楷体" w:cs="宋体"/>
                <w:color w:val="000000"/>
                <w:kern w:val="0"/>
              </w:rPr>
            </w:pPr>
            <w:r>
              <w:rPr>
                <w:rFonts w:hint="eastAsia" w:ascii="楷体" w:hAnsi="楷体" w:eastAsia="楷体"/>
                <w:color w:val="000000"/>
                <w:kern w:val="0"/>
              </w:rPr>
              <w:t>具象4</w:t>
            </w:r>
            <w:r>
              <w:rPr>
                <w:rFonts w:hint="eastAsia" w:ascii="宋体" w:hAnsi="宋体" w:eastAsia="宋体"/>
                <w:color w:val="000000"/>
                <w:kern w:val="0"/>
              </w:rPr>
              <w:t>：省教育厅本专业教师受聘企业科技副总通知文件</w:t>
            </w:r>
          </w:p>
        </w:tc>
      </w:tr>
      <w:tr w14:paraId="5C9EC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7D8A7B32">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4A53635">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111D71A3">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具象与依据：基本符合</w:t>
            </w:r>
          </w:p>
          <w:p w14:paraId="319D40A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采信情况：每五年至少有</w:t>
            </w:r>
            <w:r>
              <w:rPr>
                <w:rFonts w:ascii="楷体" w:hAnsi="楷体" w:eastAsia="楷体" w:cs="宋体"/>
                <w:color w:val="000000"/>
                <w:kern w:val="0"/>
              </w:rPr>
              <w:t>6个月的机械行业生产、服务、研发等企业实践经历</w:t>
            </w:r>
            <w:r>
              <w:rPr>
                <w:rFonts w:hint="eastAsia" w:ascii="楷体" w:hAnsi="楷体" w:eastAsia="楷体" w:cs="宋体"/>
                <w:color w:val="000000"/>
                <w:kern w:val="0"/>
              </w:rPr>
              <w:t>凭据抽漏</w:t>
            </w:r>
          </w:p>
          <w:p w14:paraId="78C5F04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B</w:t>
            </w:r>
          </w:p>
        </w:tc>
      </w:tr>
      <w:tr w14:paraId="45BC5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513FAB82">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12A36B4D">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7.4专业教师学科背景</w:t>
            </w:r>
          </w:p>
        </w:tc>
        <w:tc>
          <w:tcPr>
            <w:tcW w:w="2976" w:type="dxa"/>
            <w:tcMar>
              <w:top w:w="57" w:type="dxa"/>
              <w:left w:w="108" w:type="dxa"/>
              <w:bottom w:w="57" w:type="dxa"/>
              <w:right w:w="108" w:type="dxa"/>
            </w:tcMar>
            <w:vAlign w:val="center"/>
          </w:tcPr>
          <w:p w14:paraId="225830FB">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80%专业教师在本科、硕士和博士三个学历阶段中，有一个阶段是机械类专业学历</w:t>
            </w:r>
          </w:p>
          <w:p w14:paraId="2C5BD604">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专业17位教师（含专业和实训）在本科、硕士和博士三个学历阶段中获得的机械类专业学历</w:t>
            </w:r>
          </w:p>
        </w:tc>
        <w:tc>
          <w:tcPr>
            <w:tcW w:w="4684" w:type="dxa"/>
            <w:tcMar>
              <w:top w:w="57" w:type="dxa"/>
              <w:left w:w="108" w:type="dxa"/>
              <w:bottom w:w="57" w:type="dxa"/>
              <w:right w:w="108" w:type="dxa"/>
            </w:tcMar>
            <w:vAlign w:val="center"/>
          </w:tcPr>
          <w:p w14:paraId="5A2E2035">
            <w:pPr>
              <w:adjustRightInd w:val="0"/>
              <w:snapToGrid w:val="0"/>
              <w:rPr>
                <w:rFonts w:hint="eastAsia" w:ascii="宋体" w:hAnsi="宋体" w:eastAsia="宋体"/>
              </w:rPr>
            </w:pPr>
            <w:r>
              <w:rPr>
                <w:rFonts w:hint="eastAsia" w:ascii="楷体" w:hAnsi="楷体" w:eastAsia="楷体" w:cs="宋体"/>
                <w:color w:val="000000"/>
                <w:kern w:val="0"/>
              </w:rPr>
              <w:t>判断依据：</w:t>
            </w:r>
            <w:r>
              <w:rPr>
                <w:rFonts w:hint="eastAsia" w:ascii="宋体" w:hAnsi="宋体" w:eastAsia="宋体"/>
              </w:rPr>
              <w:t>专业教师在本科、硕士和博士三个学历阶段中获得的机械类专业学历的统计和审核材料</w:t>
            </w:r>
          </w:p>
          <w:p w14:paraId="36967968">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专业17位教师专业学历证书原件</w:t>
            </w:r>
          </w:p>
        </w:tc>
      </w:tr>
      <w:tr w14:paraId="24056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64705BD5">
            <w:pPr>
              <w:adjustRightInd w:val="0"/>
              <w:snapToGrid w:val="0"/>
              <w:ind w:firstLine="0" w:firstLineChars="0"/>
              <w:jc w:val="lef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57FE9CC">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573914C5">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43DEA55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 xml:space="preserve">采信情况：获得的机械类专业学历者为13名，4名教师没有机械类专业学历 </w:t>
            </w:r>
          </w:p>
          <w:p w14:paraId="4F7A5B17">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查证结果：B</w:t>
            </w:r>
          </w:p>
        </w:tc>
      </w:tr>
      <w:tr w14:paraId="69485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7DA7D1E6">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2A2C6E33">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7.5专业教师技能要求</w:t>
            </w:r>
          </w:p>
        </w:tc>
        <w:tc>
          <w:tcPr>
            <w:tcW w:w="2976" w:type="dxa"/>
            <w:tcMar>
              <w:top w:w="57" w:type="dxa"/>
              <w:left w:w="108" w:type="dxa"/>
              <w:bottom w:w="57" w:type="dxa"/>
              <w:right w:w="108" w:type="dxa"/>
            </w:tcMar>
            <w:vAlign w:val="center"/>
          </w:tcPr>
          <w:p w14:paraId="058C67EF">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从事专业教学三年及以上专业教师获得一个与专业相关或与授课课程相关的、公认的职业资格证书或技能等级证书</w:t>
            </w:r>
          </w:p>
          <w:p w14:paraId="767BE149">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三年及以上教学经历的专业教师共15名，要求获得的与专业相关或与授课课程相关的、公认的职业资格证书或技能等级证书</w:t>
            </w:r>
          </w:p>
        </w:tc>
        <w:tc>
          <w:tcPr>
            <w:tcW w:w="4684" w:type="dxa"/>
            <w:tcMar>
              <w:top w:w="57" w:type="dxa"/>
              <w:left w:w="108" w:type="dxa"/>
              <w:bottom w:w="57" w:type="dxa"/>
              <w:right w:w="108" w:type="dxa"/>
            </w:tcMar>
            <w:vAlign w:val="center"/>
          </w:tcPr>
          <w:p w14:paraId="097EA6D5">
            <w:pPr>
              <w:adjustRightInd w:val="0"/>
              <w:snapToGrid w:val="0"/>
              <w:rPr>
                <w:rFonts w:hint="eastAsia" w:ascii="宋体" w:hAnsi="宋体" w:eastAsia="宋体"/>
              </w:rPr>
            </w:pPr>
            <w:r>
              <w:rPr>
                <w:rFonts w:hint="eastAsia" w:ascii="楷体" w:hAnsi="楷体" w:eastAsia="楷体" w:cs="宋体"/>
                <w:color w:val="000000"/>
                <w:kern w:val="0"/>
              </w:rPr>
              <w:t>判断依据：</w:t>
            </w:r>
            <w:r>
              <w:rPr>
                <w:rFonts w:hint="eastAsia" w:ascii="宋体" w:hAnsi="宋体" w:eastAsia="宋体"/>
              </w:rPr>
              <w:t>专业教师获得的与专业相关或与授课课程相关的、公认的职业资格证书或技能等级证书的统计和审核材料</w:t>
            </w:r>
          </w:p>
          <w:p w14:paraId="5AD2EFDA">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三年及以上教学经历的15名专业教师的职业资格证书或技能等级证书原件</w:t>
            </w:r>
          </w:p>
        </w:tc>
      </w:tr>
      <w:tr w14:paraId="37E3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17B3BF74">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65C47BFC">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3DD57140">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40668402">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采信情况：获得职业资格证书或技能等级证书者15名查证结果：A</w:t>
            </w:r>
          </w:p>
        </w:tc>
      </w:tr>
      <w:tr w14:paraId="488F2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1F48354C">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30316A12">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7.6企业导师</w:t>
            </w:r>
          </w:p>
        </w:tc>
        <w:tc>
          <w:tcPr>
            <w:tcW w:w="2976" w:type="dxa"/>
            <w:tcMar>
              <w:top w:w="57" w:type="dxa"/>
              <w:left w:w="108" w:type="dxa"/>
              <w:bottom w:w="57" w:type="dxa"/>
              <w:right w:w="108" w:type="dxa"/>
            </w:tcMar>
            <w:vAlign w:val="center"/>
          </w:tcPr>
          <w:p w14:paraId="72BEF6A0">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聘用企业中与专业相关岗位工作的技术骨干为企业导师</w:t>
            </w:r>
          </w:p>
          <w:p w14:paraId="230839E9">
            <w:pPr>
              <w:adjustRightInd w:val="0"/>
              <w:snapToGrid w:val="0"/>
              <w:jc w:val="left"/>
              <w:rPr>
                <w:rFonts w:hint="eastAsia" w:ascii="宋体" w:hAnsi="宋体" w:eastAsia="宋体"/>
              </w:rPr>
            </w:pPr>
            <w:r>
              <w:rPr>
                <w:rFonts w:hint="eastAsia" w:ascii="宋体" w:hAnsi="宋体" w:eastAsia="宋体"/>
              </w:rPr>
              <w:t>企业导师每学年任课量占专业课总教学工作量15%以上</w:t>
            </w:r>
          </w:p>
          <w:p w14:paraId="0DA254C6">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2023、2024、2025年中聘用了5位企业导师，每学年任课量占专业课总教学工作量达15%</w:t>
            </w:r>
          </w:p>
        </w:tc>
        <w:tc>
          <w:tcPr>
            <w:tcW w:w="4684" w:type="dxa"/>
            <w:tcMar>
              <w:top w:w="57" w:type="dxa"/>
              <w:left w:w="108" w:type="dxa"/>
              <w:bottom w:w="57" w:type="dxa"/>
              <w:right w:w="108" w:type="dxa"/>
            </w:tcMar>
            <w:vAlign w:val="center"/>
          </w:tcPr>
          <w:p w14:paraId="279ADB17">
            <w:pPr>
              <w:adjustRightInd w:val="0"/>
              <w:snapToGrid w:val="0"/>
              <w:rPr>
                <w:rFonts w:hint="eastAsia" w:ascii="宋体" w:hAnsi="宋体" w:eastAsia="宋体"/>
              </w:rPr>
            </w:pPr>
            <w:r>
              <w:rPr>
                <w:rFonts w:hint="eastAsia" w:ascii="楷体" w:hAnsi="楷体" w:eastAsia="楷体" w:cs="宋体"/>
                <w:color w:val="000000"/>
                <w:kern w:val="0"/>
              </w:rPr>
              <w:t>判断依据：</w:t>
            </w:r>
            <w:r>
              <w:rPr>
                <w:rFonts w:hint="eastAsia" w:ascii="宋体" w:hAnsi="宋体" w:eastAsia="宋体"/>
              </w:rPr>
              <w:t>近三年聘用的企业导师聘用协议文本汇总材料；近三年聘用的企业导师的技术背景、岗位背景、个人基本信息材料；近三年企业导师每学年任课工作量报酬或合作协议、合同等凭证；近三年企业导师每学年任课量占专业总教学工作量比例的统计和审核材料</w:t>
            </w:r>
          </w:p>
          <w:p w14:paraId="7AD3CCCE">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5名企业导师的聘用协议</w:t>
            </w:r>
          </w:p>
          <w:p w14:paraId="2A64F7AB">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企业导师每学年任课学时统计（依据智慧教务数据，</w:t>
            </w:r>
            <w:r>
              <w:rPr>
                <w:rFonts w:hint="eastAsia" w:ascii="宋体" w:hAnsi="宋体" w:eastAsia="宋体"/>
              </w:rPr>
              <w:t>占专业课总教学工作量</w:t>
            </w:r>
            <w:r>
              <w:rPr>
                <w:rFonts w:hint="eastAsia" w:ascii="宋体" w:hAnsi="宋体" w:eastAsia="宋体" w:cs="宋体"/>
                <w:color w:val="000000"/>
                <w:kern w:val="0"/>
              </w:rPr>
              <w:t>8%）</w:t>
            </w:r>
          </w:p>
          <w:p w14:paraId="7E7E2645">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企业导师获酬报表（财务帐目）</w:t>
            </w:r>
          </w:p>
        </w:tc>
      </w:tr>
      <w:tr w14:paraId="266E9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004" w:hRule="atLeast"/>
          <w:jc w:val="right"/>
        </w:trPr>
        <w:tc>
          <w:tcPr>
            <w:tcW w:w="2334" w:type="dxa"/>
            <w:gridSpan w:val="2"/>
            <w:tcMar>
              <w:top w:w="57" w:type="dxa"/>
              <w:left w:w="108" w:type="dxa"/>
              <w:bottom w:w="57" w:type="dxa"/>
              <w:right w:w="108" w:type="dxa"/>
            </w:tcMar>
            <w:vAlign w:val="center"/>
          </w:tcPr>
          <w:p w14:paraId="37A6AD9A">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05ECC68">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1FD474FF">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34990B7E">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采信情况：具象2缺授课计划和教学日志； 具象3获酬额折算成教学工作量达不到</w:t>
            </w:r>
            <w:r>
              <w:rPr>
                <w:rFonts w:hint="eastAsia" w:ascii="楷体" w:hAnsi="楷体" w:eastAsia="楷体"/>
              </w:rPr>
              <w:t>占专业课总教学工作量</w:t>
            </w:r>
            <w:r>
              <w:rPr>
                <w:rFonts w:hint="eastAsia" w:ascii="楷体" w:hAnsi="楷体" w:eastAsia="楷体" w:cs="宋体"/>
                <w:color w:val="000000"/>
                <w:kern w:val="0"/>
              </w:rPr>
              <w:t>15%</w:t>
            </w:r>
          </w:p>
          <w:p w14:paraId="6E5AA4B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hint="eastAsia" w:ascii="楷体" w:hAnsi="楷体" w:eastAsia="楷体" w:cs="宋体"/>
                <w:kern w:val="0"/>
              </w:rPr>
              <w:t>：C</w:t>
            </w:r>
          </w:p>
        </w:tc>
      </w:tr>
      <w:tr w14:paraId="1EEE5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7AA93337">
            <w:pPr>
              <w:adjustRightInd w:val="0"/>
              <w:snapToGrid w:val="0"/>
              <w:ind w:firstLine="0" w:firstLineChars="0"/>
              <w:jc w:val="left"/>
              <w:rPr>
                <w:rFonts w:hint="eastAsia" w:ascii="宋体" w:hAnsi="宋体" w:eastAsia="宋体" w:cs="宋体"/>
                <w:color w:val="000000"/>
                <w:kern w:val="0"/>
              </w:rPr>
            </w:pPr>
            <w:r>
              <w:t>8</w:t>
            </w:r>
            <w:r>
              <w:rPr>
                <w:rFonts w:hint="eastAsia"/>
              </w:rPr>
              <w:t>校企合作</w:t>
            </w:r>
          </w:p>
        </w:tc>
        <w:tc>
          <w:tcPr>
            <w:tcW w:w="1261" w:type="dxa"/>
            <w:tcMar>
              <w:top w:w="57" w:type="dxa"/>
              <w:left w:w="108" w:type="dxa"/>
              <w:bottom w:w="57" w:type="dxa"/>
              <w:right w:w="108" w:type="dxa"/>
            </w:tcMar>
            <w:vAlign w:val="center"/>
          </w:tcPr>
          <w:p w14:paraId="481ECD33">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8.1合作平台</w:t>
            </w:r>
          </w:p>
        </w:tc>
        <w:tc>
          <w:tcPr>
            <w:tcW w:w="2976" w:type="dxa"/>
            <w:tcMar>
              <w:top w:w="57" w:type="dxa"/>
              <w:left w:w="108" w:type="dxa"/>
              <w:bottom w:w="57" w:type="dxa"/>
              <w:right w:w="108" w:type="dxa"/>
            </w:tcMar>
            <w:vAlign w:val="center"/>
          </w:tcPr>
          <w:p w14:paraId="60B3000E">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专业具有与合作方共同出资、共同运行的合作平台，平台能支撑专业建设和人才培养</w:t>
            </w:r>
          </w:p>
          <w:p w14:paraId="4E1613D1">
            <w:pPr>
              <w:adjustRightInd w:val="0"/>
              <w:snapToGrid w:val="0"/>
              <w:spacing w:line="300" w:lineRule="exact"/>
              <w:ind w:left="-29" w:leftChars="-16"/>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与深圳德立天共建注</w:t>
            </w:r>
            <w:r>
              <w:rPr>
                <w:rFonts w:ascii="宋体" w:hAnsi="宋体" w:eastAsia="宋体" w:cs="宋体"/>
                <w:color w:val="000000"/>
                <w:kern w:val="0"/>
              </w:rPr>
              <w:t>注塑机企业级设备</w:t>
            </w:r>
            <w:r>
              <w:rPr>
                <w:rFonts w:hint="eastAsia" w:ascii="宋体" w:hAnsi="宋体" w:eastAsia="宋体" w:cs="宋体"/>
                <w:color w:val="000000"/>
                <w:kern w:val="0"/>
              </w:rPr>
              <w:t>平台，与</w:t>
            </w:r>
            <w:r>
              <w:rPr>
                <w:rFonts w:ascii="宋体" w:hAnsi="宋体" w:eastAsia="宋体" w:cs="宋体"/>
                <w:color w:val="000000"/>
                <w:kern w:val="0"/>
              </w:rPr>
              <w:t>西门子共建数字化孪生技术产业学院, 与武汉华中数控控股有限公司共建创新工作室，研究机器人离线编程、数字化管理系统</w:t>
            </w:r>
            <w:r>
              <w:rPr>
                <w:rFonts w:hint="eastAsia" w:ascii="宋体" w:hAnsi="宋体" w:eastAsia="宋体" w:cs="宋体"/>
                <w:color w:val="000000"/>
                <w:kern w:val="0"/>
              </w:rPr>
              <w:t>；</w:t>
            </w:r>
            <w:r>
              <w:rPr>
                <w:rFonts w:ascii="宋体" w:hAnsi="宋体" w:eastAsia="宋体" w:cs="宋体"/>
                <w:color w:val="000000"/>
                <w:kern w:val="0"/>
              </w:rPr>
              <w:t>无锡贝斯特精机股份有限公司共建“智能产线技术及装备工程研究中心”</w:t>
            </w:r>
            <w:r>
              <w:rPr>
                <w:rFonts w:hint="eastAsia" w:ascii="宋体" w:hAnsi="宋体" w:eastAsia="宋体" w:cs="宋体"/>
                <w:color w:val="000000"/>
                <w:kern w:val="0"/>
              </w:rPr>
              <w:t>共4个合作平台</w:t>
            </w:r>
          </w:p>
        </w:tc>
        <w:tc>
          <w:tcPr>
            <w:tcW w:w="4684" w:type="dxa"/>
            <w:tcMar>
              <w:top w:w="57" w:type="dxa"/>
              <w:left w:w="108" w:type="dxa"/>
              <w:bottom w:w="57" w:type="dxa"/>
              <w:right w:w="108" w:type="dxa"/>
            </w:tcMar>
            <w:vAlign w:val="center"/>
          </w:tcPr>
          <w:p w14:paraId="400326FF">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专业建有的校企合作平台汇总文件以及平台运行情况记录；专业通过校企合作平台为企业提供有效服务、引入企业人才培养资源的成果材料料</w:t>
            </w:r>
          </w:p>
          <w:p w14:paraId="53FBD7F5">
            <w:pPr>
              <w:adjustRightInd w:val="0"/>
              <w:snapToGrid w:val="0"/>
              <w:spacing w:line="300" w:lineRule="exact"/>
              <w:ind w:left="-29" w:leftChars="-16"/>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4个合作平台的共建协议及现场平台场所</w:t>
            </w:r>
          </w:p>
          <w:p w14:paraId="7F98AB3D">
            <w:pPr>
              <w:adjustRightInd w:val="0"/>
              <w:snapToGrid w:val="0"/>
              <w:spacing w:line="300" w:lineRule="exact"/>
              <w:ind w:left="-29" w:leftChars="-16"/>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在深圳德立天校企共建平台中开展塑料成型工艺与模具设计课程的实验实训项目教学日志</w:t>
            </w:r>
          </w:p>
        </w:tc>
      </w:tr>
      <w:tr w14:paraId="2ACD0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3786A27E">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31494F0">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07A29AE0">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041C3522">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采信情况：现场考察</w:t>
            </w:r>
          </w:p>
          <w:p w14:paraId="492EFDD7">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A</w:t>
            </w:r>
          </w:p>
        </w:tc>
      </w:tr>
      <w:tr w14:paraId="3CBD7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17676932">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753B732F">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8.2合作机制</w:t>
            </w:r>
          </w:p>
        </w:tc>
        <w:tc>
          <w:tcPr>
            <w:tcW w:w="2976" w:type="dxa"/>
            <w:tcMar>
              <w:top w:w="57" w:type="dxa"/>
              <w:left w:w="108" w:type="dxa"/>
              <w:bottom w:w="57" w:type="dxa"/>
              <w:right w:w="108" w:type="dxa"/>
            </w:tcMar>
            <w:vAlign w:val="center"/>
          </w:tcPr>
          <w:p w14:paraId="04BED1FB">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专业与3家或以上业界优势企业建立紧密校企合作关系</w:t>
            </w:r>
          </w:p>
          <w:p w14:paraId="278A400F">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本专业与</w:t>
            </w:r>
            <w:r>
              <w:rPr>
                <w:rFonts w:ascii="宋体" w:hAnsi="宋体" w:eastAsia="宋体" w:cs="宋体"/>
                <w:color w:val="000000"/>
                <w:kern w:val="0"/>
              </w:rPr>
              <w:t>精利模塑科技（无锡）有限公司</w:t>
            </w:r>
            <w:r>
              <w:rPr>
                <w:rFonts w:hint="eastAsia" w:ascii="宋体" w:hAnsi="宋体" w:eastAsia="宋体" w:cs="宋体"/>
                <w:color w:val="000000"/>
                <w:kern w:val="0"/>
              </w:rPr>
              <w:t>、</w:t>
            </w:r>
            <w:r>
              <w:rPr>
                <w:rFonts w:ascii="宋体" w:hAnsi="宋体" w:eastAsia="宋体" w:cs="宋体"/>
                <w:color w:val="000000"/>
                <w:kern w:val="0"/>
              </w:rPr>
              <w:t>无锡微研股份有限公司</w:t>
            </w:r>
            <w:r>
              <w:rPr>
                <w:rFonts w:hint="eastAsia" w:ascii="宋体" w:hAnsi="宋体" w:eastAsia="宋体" w:cs="宋体"/>
                <w:color w:val="000000"/>
                <w:kern w:val="0"/>
              </w:rPr>
              <w:t>，</w:t>
            </w:r>
            <w:r>
              <w:rPr>
                <w:rFonts w:ascii="宋体" w:hAnsi="宋体" w:eastAsia="宋体" w:cs="宋体"/>
                <w:color w:val="000000"/>
                <w:kern w:val="0"/>
              </w:rPr>
              <w:t>江苏永瀚特种合金技术股份有限公司</w:t>
            </w:r>
            <w:r>
              <w:rPr>
                <w:rFonts w:hint="eastAsia" w:ascii="宋体" w:hAnsi="宋体" w:eastAsia="宋体" w:cs="宋体"/>
                <w:color w:val="000000"/>
                <w:kern w:val="0"/>
              </w:rPr>
              <w:t>、</w:t>
            </w:r>
            <w:r>
              <w:rPr>
                <w:rFonts w:ascii="宋体" w:hAnsi="宋体" w:eastAsia="宋体" w:cs="宋体"/>
                <w:color w:val="000000"/>
                <w:kern w:val="0"/>
              </w:rPr>
              <w:t>无锡透平叶片有限公司</w:t>
            </w:r>
            <w:r>
              <w:rPr>
                <w:rFonts w:hint="eastAsia" w:ascii="宋体" w:hAnsi="宋体" w:eastAsia="宋体" w:cs="宋体"/>
                <w:color w:val="000000"/>
                <w:kern w:val="0"/>
              </w:rPr>
              <w:t>等企业建立人才合作培养关系</w:t>
            </w:r>
          </w:p>
        </w:tc>
        <w:tc>
          <w:tcPr>
            <w:tcW w:w="4684" w:type="dxa"/>
            <w:tcMar>
              <w:top w:w="57" w:type="dxa"/>
              <w:left w:w="108" w:type="dxa"/>
              <w:bottom w:w="57" w:type="dxa"/>
              <w:right w:w="108" w:type="dxa"/>
            </w:tcMar>
            <w:vAlign w:val="center"/>
          </w:tcPr>
          <w:p w14:paraId="7DC849ED">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近三年与合作企业签署的合作教学项目协议；近三年合作企业提供的学生实习、教师下厂的具体岗位；近三年校企双方签署的、针对具体合作教学项目的教师、企业专家互聘协议</w:t>
            </w:r>
          </w:p>
          <w:p w14:paraId="07C8F812">
            <w:pPr>
              <w:adjustRightInd w:val="0"/>
              <w:snapToGrid w:val="0"/>
              <w:rPr>
                <w:rFonts w:hint="eastAsia"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与</w:t>
            </w:r>
            <w:r>
              <w:rPr>
                <w:rFonts w:hint="eastAsia" w:cs="宋体"/>
                <w:color w:val="000000"/>
                <w:kern w:val="0"/>
              </w:rPr>
              <w:t>4家企业的人才合作培养协议</w:t>
            </w:r>
          </w:p>
          <w:p w14:paraId="43E17E77">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2023年、2024年、2025年学生在合作</w:t>
            </w:r>
            <w:r>
              <w:rPr>
                <w:rFonts w:hint="eastAsia" w:cs="宋体"/>
                <w:color w:val="000000"/>
                <w:kern w:val="0"/>
              </w:rPr>
              <w:t>4家企业的实习记录</w:t>
            </w:r>
          </w:p>
        </w:tc>
      </w:tr>
      <w:tr w14:paraId="57F7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4A8BED5C">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751DB2E4">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0F64D82E">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具象与依据：基本符合</w:t>
            </w:r>
          </w:p>
          <w:p w14:paraId="2AC62039">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采信情况：原始文件，部分凭证和记录有缺漏</w:t>
            </w:r>
          </w:p>
          <w:p w14:paraId="0DCEF77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B</w:t>
            </w:r>
          </w:p>
        </w:tc>
      </w:tr>
      <w:tr w14:paraId="5F892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420C17EE">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64FEDED9">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8.3合作成效</w:t>
            </w:r>
          </w:p>
        </w:tc>
        <w:tc>
          <w:tcPr>
            <w:tcW w:w="2976" w:type="dxa"/>
            <w:tcMar>
              <w:top w:w="57" w:type="dxa"/>
              <w:left w:w="108" w:type="dxa"/>
              <w:bottom w:w="57" w:type="dxa"/>
              <w:right w:w="108" w:type="dxa"/>
            </w:tcMar>
            <w:vAlign w:val="center"/>
          </w:tcPr>
          <w:p w14:paraId="20B81F6C">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校企合作贯穿于专业建设和人才培养全过程并取得实质性成效</w:t>
            </w:r>
          </w:p>
          <w:p w14:paraId="529A3DFC">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成立含模具相关企业专家的校企合作专业委员会，定期举办专业委员会会议，共同研讨和修订专业人才培养方案、课程标准等</w:t>
            </w:r>
          </w:p>
          <w:p w14:paraId="0248DEE4">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有基于企业真实案例开发的模具设计、加工、装调的相关教学项目，并逐步将校企合作开发的教学项目编入专业课教材</w:t>
            </w:r>
          </w:p>
          <w:p w14:paraId="409B8B59">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合作期内专业教师提供技术服务、或协助企业制定员工培训方案、或参与各类员工培训</w:t>
            </w:r>
          </w:p>
          <w:p w14:paraId="2A3DA9DB">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具象4：</w:t>
            </w:r>
            <w:r>
              <w:rPr>
                <w:rFonts w:hint="eastAsia" w:ascii="宋体" w:hAnsi="宋体" w:eastAsia="宋体" w:cs="宋体"/>
                <w:color w:val="000000"/>
                <w:kern w:val="0"/>
              </w:rPr>
              <w:t>企业提供学生项岗实习岗位，优先吸纳本专业毕业生就业，合作企业每年参与分院或学校组织的毕业生招聘会</w:t>
            </w:r>
          </w:p>
        </w:tc>
        <w:tc>
          <w:tcPr>
            <w:tcW w:w="4684" w:type="dxa"/>
            <w:tcMar>
              <w:top w:w="57" w:type="dxa"/>
              <w:left w:w="108" w:type="dxa"/>
              <w:bottom w:w="57" w:type="dxa"/>
              <w:right w:w="108" w:type="dxa"/>
            </w:tcMar>
            <w:vAlign w:val="center"/>
          </w:tcPr>
          <w:p w14:paraId="1AA9FCD8">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近三年企业专家承担参与人才培养方案、课程标准（课程教学大纲）、教材开发和合作教学项目任务的凭据；近三年专业为合作企业提供技术服务或员工培训项目协议及其执行记录；近三年毕业生到合作企业就业的统计分析材料</w:t>
            </w:r>
          </w:p>
          <w:p w14:paraId="0655AC7C">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同2.2目标修订具象2（有相关企业专家人才培养方案、课程标准、课程开发等修订审核的参加凭证）</w:t>
            </w:r>
          </w:p>
          <w:p w14:paraId="1FC6C580">
            <w:pPr>
              <w:adjustRightInd w:val="0"/>
              <w:snapToGrid w:val="0"/>
              <w:spacing w:line="300" w:lineRule="exact"/>
              <w:ind w:left="-29" w:leftChars="-16"/>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专业教师</w:t>
            </w:r>
            <w:r>
              <w:rPr>
                <w:rFonts w:ascii="宋体" w:hAnsi="宋体" w:eastAsia="宋体" w:cs="宋体"/>
                <w:color w:val="000000"/>
                <w:kern w:val="0"/>
              </w:rPr>
              <w:t>2024年为无锡微研中佳精机科技培训员工</w:t>
            </w:r>
          </w:p>
          <w:p w14:paraId="279378AC">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本专业</w:t>
            </w:r>
            <w:r>
              <w:rPr>
                <w:rFonts w:ascii="宋体" w:hAnsi="宋体" w:eastAsia="宋体" w:cs="宋体"/>
                <w:color w:val="000000"/>
                <w:kern w:val="0"/>
              </w:rPr>
              <w:t>近</w:t>
            </w:r>
            <w:r>
              <w:rPr>
                <w:rFonts w:hint="eastAsia" w:ascii="宋体" w:hAnsi="宋体" w:eastAsia="宋体" w:cs="宋体"/>
                <w:color w:val="000000"/>
                <w:kern w:val="0"/>
              </w:rPr>
              <w:t>2023年、2024年、2025年</w:t>
            </w:r>
            <w:r>
              <w:rPr>
                <w:rFonts w:ascii="宋体" w:hAnsi="宋体" w:eastAsia="宋体" w:cs="宋体"/>
                <w:color w:val="000000"/>
                <w:kern w:val="0"/>
              </w:rPr>
              <w:t>10名学生进入合作企业就业</w:t>
            </w:r>
          </w:p>
        </w:tc>
      </w:tr>
      <w:tr w14:paraId="692B1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2BE9D4DB">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49799E5">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06F7B2D9">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具象与依据：不符合</w:t>
            </w:r>
          </w:p>
          <w:p w14:paraId="6794DB5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采信情况：无校企合作开发教材材料</w:t>
            </w:r>
          </w:p>
          <w:p w14:paraId="54AF6E66">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w:t>
            </w:r>
            <w:r>
              <w:rPr>
                <w:rFonts w:ascii="楷体" w:hAnsi="楷体" w:eastAsia="楷体" w:cs="宋体"/>
                <w:color w:val="000000"/>
                <w:kern w:val="0"/>
              </w:rPr>
              <w:t>C</w:t>
            </w:r>
          </w:p>
        </w:tc>
      </w:tr>
      <w:tr w14:paraId="43B4D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35473C49">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9 支持条件</w:t>
            </w:r>
          </w:p>
        </w:tc>
        <w:tc>
          <w:tcPr>
            <w:tcW w:w="1261" w:type="dxa"/>
            <w:tcMar>
              <w:top w:w="57" w:type="dxa"/>
              <w:left w:w="108" w:type="dxa"/>
              <w:bottom w:w="57" w:type="dxa"/>
              <w:right w:w="108" w:type="dxa"/>
            </w:tcMar>
            <w:vAlign w:val="center"/>
          </w:tcPr>
          <w:p w14:paraId="08E09CE2">
            <w:pPr>
              <w:adjustRightInd w:val="0"/>
              <w:snapToGrid w:val="0"/>
              <w:ind w:firstLine="0" w:firstLineChars="0"/>
              <w:jc w:val="left"/>
              <w:rPr>
                <w:rFonts w:hint="eastAsia" w:ascii="宋体" w:hAnsi="宋体" w:eastAsia="宋体" w:cs="宋体"/>
                <w:color w:val="000000"/>
                <w:kern w:val="0"/>
              </w:rPr>
            </w:pPr>
            <w:r>
              <w:rPr>
                <w:rFonts w:ascii="宋体" w:hAnsi="宋体" w:eastAsia="宋体"/>
              </w:rPr>
              <w:t>9.1教学设施</w:t>
            </w:r>
          </w:p>
        </w:tc>
        <w:tc>
          <w:tcPr>
            <w:tcW w:w="2976" w:type="dxa"/>
            <w:tcMar>
              <w:top w:w="57" w:type="dxa"/>
              <w:left w:w="108" w:type="dxa"/>
              <w:bottom w:w="57" w:type="dxa"/>
              <w:right w:w="108" w:type="dxa"/>
            </w:tcMar>
            <w:vAlign w:val="center"/>
          </w:tcPr>
          <w:p w14:paraId="2BEF2DD8">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专业建有“金工、电工电子、机械零件与产品测绘、公差配合与测量、材料组织与性能检测、液压与气压传动、程序设计与控制、传感器应用”等领域内3个或以上基础性实验实训室；专业生均教学行政用房不低于16平方米/生；专业生均教学科研仪器设备值不低于8000元/生</w:t>
            </w:r>
          </w:p>
          <w:p w14:paraId="11BE8399">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本专业了配置金工、机械零件与产品测绘、工程力学、公差配合与测量、机械原理与零件等5个实验和实训室</w:t>
            </w:r>
          </w:p>
          <w:p w14:paraId="54CB4D09">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本专业行政用房面积达18.19平方米/生</w:t>
            </w:r>
          </w:p>
          <w:p w14:paraId="165744EA">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本专业生均教学科研仪器设备值达1.94万元/生</w:t>
            </w:r>
          </w:p>
        </w:tc>
        <w:tc>
          <w:tcPr>
            <w:tcW w:w="4684" w:type="dxa"/>
            <w:tcMar>
              <w:top w:w="57" w:type="dxa"/>
              <w:left w:w="108" w:type="dxa"/>
              <w:bottom w:w="57" w:type="dxa"/>
              <w:right w:w="108" w:type="dxa"/>
            </w:tcMar>
            <w:vAlign w:val="center"/>
          </w:tcPr>
          <w:p w14:paraId="2CFB750A">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近三年专业实验实训室配置和使用的统计汇总材料；近三年专业生均教学行政用房统计汇总材料；近三年专业生均教学科研仪器设备值统计汇总材料</w:t>
            </w:r>
          </w:p>
          <w:p w14:paraId="45C5C4AB">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2023年、2024年、2025年金工、机械零件与产品测绘、工程力学、公差配合与测量、机械原理与零件等5个实验和实训室的配置（校资产台帐）和使用的统计汇总材料（机械学院教学存档资料）</w:t>
            </w:r>
          </w:p>
          <w:p w14:paraId="4F16AB43">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2023年、2024年、2025年本专业行政用房面积达18.19平方米/生的统计汇总材料（校资产台帐）</w:t>
            </w:r>
          </w:p>
          <w:p w14:paraId="33B50CB2">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2023年、2024年、2025年本专业生均教学科研仪器设备值达1.94万元/生的统计汇总材料（校资产台帐）</w:t>
            </w:r>
          </w:p>
        </w:tc>
      </w:tr>
      <w:tr w14:paraId="258B6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0C8D8A1C">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2CF80540">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41EE411D">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6C44DFB5">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采信情况：专业报送材料、学校资产处存档材料及学校网站信息，采信</w:t>
            </w:r>
          </w:p>
          <w:p w14:paraId="29470B5B">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749FB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70A494AD">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74E8A283">
            <w:pPr>
              <w:adjustRightInd w:val="0"/>
              <w:snapToGrid w:val="0"/>
              <w:ind w:firstLine="0" w:firstLineChars="0"/>
              <w:jc w:val="left"/>
              <w:rPr>
                <w:rFonts w:hint="eastAsia" w:ascii="宋体" w:hAnsi="宋体" w:eastAsia="宋体" w:cs="宋体"/>
                <w:color w:val="000000"/>
                <w:kern w:val="0"/>
              </w:rPr>
            </w:pPr>
            <w:r>
              <w:rPr>
                <w:rFonts w:ascii="宋体" w:hAnsi="宋体" w:eastAsia="宋体"/>
              </w:rPr>
              <w:t>9.2实践基地</w:t>
            </w:r>
          </w:p>
        </w:tc>
        <w:tc>
          <w:tcPr>
            <w:tcW w:w="2976" w:type="dxa"/>
            <w:tcMar>
              <w:top w:w="57" w:type="dxa"/>
              <w:left w:w="108" w:type="dxa"/>
              <w:bottom w:w="57" w:type="dxa"/>
              <w:right w:w="108" w:type="dxa"/>
            </w:tcMar>
            <w:vAlign w:val="center"/>
          </w:tcPr>
          <w:p w14:paraId="1BAF6A90">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校内外实践基地运行状态良好，其功能、实践工位数能支持学生专业能力和职业综合素质的培养要求</w:t>
            </w:r>
          </w:p>
          <w:p w14:paraId="3397CA3D">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：校内实践基地有增材制造实验实训室、精密测量实训室、VR虚拟仿真实训室、数控车削加工实训室、数控铣削加工实训室、电加工实训室、逆向工程实训室、模具拆装实训室等场所</w:t>
            </w:r>
          </w:p>
          <w:p w14:paraId="61365B47">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校外实践基地包括无锡村田电子有限公司、无锡奥特维科技股份有限公司、江苏永瀚特种合金技术股份有限公司、无锡微研股份有限公司等12家校企合作企业</w:t>
            </w:r>
          </w:p>
        </w:tc>
        <w:tc>
          <w:tcPr>
            <w:tcW w:w="4684" w:type="dxa"/>
            <w:tcMar>
              <w:top w:w="57" w:type="dxa"/>
              <w:left w:w="108" w:type="dxa"/>
              <w:bottom w:w="57" w:type="dxa"/>
              <w:right w:w="108" w:type="dxa"/>
            </w:tcMar>
            <w:vAlign w:val="center"/>
          </w:tcPr>
          <w:p w14:paraId="7D5899D1">
            <w:pPr>
              <w:adjustRightInd w:val="0"/>
              <w:snapToGrid w:val="0"/>
              <w:rPr>
                <w:rFonts w:ascii="Times New Roman" w:hAnsi="Times New Roman" w:eastAsia="宋体"/>
                <w:color w:val="000000"/>
                <w:kern w:val="0"/>
              </w:rPr>
            </w:pPr>
            <w:r>
              <w:rPr>
                <w:rFonts w:hint="eastAsia" w:ascii="楷体" w:hAnsi="楷体" w:eastAsia="楷体" w:cs="宋体"/>
                <w:color w:val="000000"/>
                <w:kern w:val="0"/>
              </w:rPr>
              <w:t>判断依据：</w:t>
            </w:r>
            <w:r>
              <w:rPr>
                <w:rFonts w:hint="eastAsia" w:ascii="Times New Roman" w:hAnsi="Times New Roman" w:eastAsia="宋体"/>
                <w:color w:val="000000"/>
                <w:kern w:val="0"/>
              </w:rPr>
              <w:t>近三年校内外实践基地的功能与实践工位数汇总分析材料；近三年校内外实践基地承接的合作教学项目及其学生习得的学习成果汇总分析材料</w:t>
            </w:r>
          </w:p>
          <w:p w14:paraId="4B11DDC3">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增材制造实验实训室、精密测量实训室、VR虚拟仿真实训室、数控车削加工实训室、数控铣削加工实训室、电加工实训室、逆向工程实训室、模具拆装实训室配置台帐（学校资产台帐）</w:t>
            </w:r>
          </w:p>
          <w:p w14:paraId="07755EFB">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2023年、2024年、2025年校内实践基地实验或实训记录（智慧教务平台记录）</w:t>
            </w:r>
          </w:p>
          <w:p w14:paraId="3CC96E31">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具象3：</w:t>
            </w:r>
            <w:r>
              <w:rPr>
                <w:rFonts w:hint="eastAsia" w:ascii="宋体" w:hAnsi="宋体" w:eastAsia="宋体" w:cs="宋体"/>
                <w:color w:val="000000"/>
                <w:kern w:val="0"/>
              </w:rPr>
              <w:t>12家校外实践基地共建协议</w:t>
            </w:r>
          </w:p>
          <w:p w14:paraId="169531AF">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具象4：</w:t>
            </w:r>
            <w:r>
              <w:rPr>
                <w:rFonts w:hint="eastAsia" w:ascii="宋体" w:hAnsi="宋体" w:eastAsia="宋体" w:cs="宋体"/>
                <w:color w:val="000000"/>
                <w:kern w:val="0"/>
              </w:rPr>
              <w:t>2023年、2024年、2025年校外实践基地学生实践活动记录（机械学院教学归档资料）</w:t>
            </w:r>
          </w:p>
        </w:tc>
      </w:tr>
      <w:tr w14:paraId="223D6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2F6C2DFD">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642D1D0C">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31C042E8">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37D3873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采信情况：专业报送材料、学校资产处存档材料和学校网站信息，采信</w:t>
            </w:r>
          </w:p>
          <w:p w14:paraId="48F60C29">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724C8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28559E62">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77A9D79C">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9</w:t>
            </w:r>
            <w:r>
              <w:rPr>
                <w:rFonts w:ascii="宋体" w:hAnsi="宋体" w:eastAsia="宋体"/>
              </w:rPr>
              <w:t>.3图书资源</w:t>
            </w:r>
          </w:p>
        </w:tc>
        <w:tc>
          <w:tcPr>
            <w:tcW w:w="2976" w:type="dxa"/>
            <w:tcMar>
              <w:top w:w="57" w:type="dxa"/>
              <w:left w:w="108" w:type="dxa"/>
              <w:bottom w:w="57" w:type="dxa"/>
              <w:right w:w="108" w:type="dxa"/>
            </w:tcMar>
            <w:vAlign w:val="center"/>
          </w:tcPr>
          <w:p w14:paraId="49C17CD9">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专业生均图书不低于60册/生</w:t>
            </w:r>
          </w:p>
          <w:p w14:paraId="1EDF705E">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本专业相关的图书的藏书信息，包括纸质图书和电子图书的总折算数达345册/生</w:t>
            </w:r>
          </w:p>
        </w:tc>
        <w:tc>
          <w:tcPr>
            <w:tcW w:w="4684" w:type="dxa"/>
            <w:tcMar>
              <w:top w:w="57" w:type="dxa"/>
              <w:left w:w="108" w:type="dxa"/>
              <w:bottom w:w="57" w:type="dxa"/>
              <w:right w:w="108" w:type="dxa"/>
            </w:tcMar>
            <w:vAlign w:val="center"/>
          </w:tcPr>
          <w:p w14:paraId="7CE69053">
            <w:pPr>
              <w:adjustRightInd w:val="0"/>
              <w:snapToGrid w:val="0"/>
              <w:rPr>
                <w:rFonts w:hint="eastAsia" w:ascii="宋体" w:hAnsi="宋体" w:eastAsia="宋体"/>
              </w:rPr>
            </w:pPr>
            <w:r>
              <w:rPr>
                <w:rFonts w:hint="eastAsia" w:ascii="楷体" w:hAnsi="楷体" w:eastAsia="楷体" w:cs="宋体"/>
                <w:color w:val="000000"/>
                <w:kern w:val="0"/>
              </w:rPr>
              <w:t>判断依据：</w:t>
            </w:r>
            <w:r>
              <w:rPr>
                <w:rFonts w:hint="eastAsia" w:ascii="宋体" w:hAnsi="宋体" w:eastAsia="宋体"/>
              </w:rPr>
              <w:t>近三年专业生均图书册数统计分析材料</w:t>
            </w:r>
          </w:p>
          <w:p w14:paraId="343BB99D">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具象1：</w:t>
            </w:r>
            <w:r>
              <w:rPr>
                <w:rFonts w:hint="eastAsia" w:ascii="宋体" w:hAnsi="宋体" w:eastAsia="宋体"/>
              </w:rPr>
              <w:t>图书馆台帐</w:t>
            </w:r>
          </w:p>
        </w:tc>
      </w:tr>
      <w:tr w14:paraId="6E914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2334" w:type="dxa"/>
            <w:gridSpan w:val="2"/>
            <w:tcMar>
              <w:top w:w="57" w:type="dxa"/>
              <w:left w:w="108" w:type="dxa"/>
              <w:bottom w:w="57" w:type="dxa"/>
              <w:right w:w="108" w:type="dxa"/>
            </w:tcMar>
            <w:vAlign w:val="center"/>
          </w:tcPr>
          <w:p w14:paraId="7BE86908">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1E124D06">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3F218F0F">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057A0EEA">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采信情况：专业报送材料、图书馆台帐及学校网站信息，采信</w:t>
            </w:r>
          </w:p>
          <w:p w14:paraId="369AE007">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r w14:paraId="3D17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4" w:hRule="atLeast"/>
          <w:jc w:val="right"/>
        </w:trPr>
        <w:tc>
          <w:tcPr>
            <w:tcW w:w="1073" w:type="dxa"/>
            <w:tcMar>
              <w:top w:w="57" w:type="dxa"/>
              <w:left w:w="108" w:type="dxa"/>
              <w:bottom w:w="57" w:type="dxa"/>
              <w:right w:w="108" w:type="dxa"/>
            </w:tcMar>
            <w:vAlign w:val="center"/>
          </w:tcPr>
          <w:p w14:paraId="57964024">
            <w:pPr>
              <w:adjustRightInd w:val="0"/>
              <w:snapToGrid w:val="0"/>
              <w:ind w:firstLine="0" w:firstLineChars="0"/>
              <w:jc w:val="left"/>
              <w:rPr>
                <w:rFonts w:hint="eastAsia" w:ascii="宋体" w:hAnsi="宋体" w:eastAsia="宋体" w:cs="宋体"/>
                <w:color w:val="000000"/>
                <w:kern w:val="0"/>
              </w:rPr>
            </w:pPr>
          </w:p>
        </w:tc>
        <w:tc>
          <w:tcPr>
            <w:tcW w:w="1261" w:type="dxa"/>
            <w:tcMar>
              <w:top w:w="57" w:type="dxa"/>
              <w:left w:w="108" w:type="dxa"/>
              <w:bottom w:w="57" w:type="dxa"/>
              <w:right w:w="108" w:type="dxa"/>
            </w:tcMar>
            <w:vAlign w:val="center"/>
          </w:tcPr>
          <w:p w14:paraId="3A278F1A">
            <w:pPr>
              <w:adjustRightInd w:val="0"/>
              <w:snapToGrid w:val="0"/>
              <w:ind w:firstLine="0" w:firstLineChars="0"/>
              <w:jc w:val="left"/>
              <w:rPr>
                <w:rFonts w:hint="eastAsia" w:ascii="宋体" w:hAnsi="宋体" w:eastAsia="宋体" w:cs="宋体"/>
                <w:color w:val="000000"/>
                <w:kern w:val="0"/>
              </w:rPr>
            </w:pPr>
            <w:r>
              <w:rPr>
                <w:rFonts w:hint="eastAsia" w:ascii="宋体" w:hAnsi="宋体" w:eastAsia="宋体"/>
              </w:rPr>
              <w:t>9.4信息化</w:t>
            </w:r>
          </w:p>
        </w:tc>
        <w:tc>
          <w:tcPr>
            <w:tcW w:w="2976" w:type="dxa"/>
            <w:tcMar>
              <w:top w:w="57" w:type="dxa"/>
              <w:left w:w="108" w:type="dxa"/>
              <w:bottom w:w="57" w:type="dxa"/>
              <w:right w:w="108" w:type="dxa"/>
            </w:tcMar>
            <w:vAlign w:val="center"/>
          </w:tcPr>
          <w:p w14:paraId="1AA9B31C">
            <w:pPr>
              <w:adjustRightInd w:val="0"/>
              <w:snapToGrid w:val="0"/>
              <w:jc w:val="left"/>
              <w:rPr>
                <w:rFonts w:hint="eastAsia" w:ascii="宋体" w:hAnsi="宋体" w:eastAsia="宋体"/>
              </w:rPr>
            </w:pPr>
            <w:r>
              <w:rPr>
                <w:rFonts w:hint="eastAsia" w:ascii="楷体" w:hAnsi="楷体" w:eastAsia="楷体" w:cs="宋体"/>
                <w:color w:val="000000"/>
                <w:kern w:val="0"/>
              </w:rPr>
              <w:t>判断基准：</w:t>
            </w:r>
            <w:r>
              <w:rPr>
                <w:rFonts w:hint="eastAsia" w:ascii="宋体" w:hAnsi="宋体" w:eastAsia="宋体"/>
              </w:rPr>
              <w:t>信息技术能支持线上线下混合式教学，能采集利用过程性数据进行教学工作诊断与改进</w:t>
            </w:r>
          </w:p>
          <w:p w14:paraId="7B490AC4">
            <w:pPr>
              <w:adjustRightInd w:val="0"/>
              <w:snapToGrid w:val="0"/>
              <w:jc w:val="left"/>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2023年、2024年、2025年依托“智慧职教”“中国大学MOOC”等教学平台开展线上和线下教学</w:t>
            </w:r>
          </w:p>
          <w:p w14:paraId="3C2EF9FD">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：2023年、2024年、2025年依托无锡职业技术大学教学管理平台，开展专业和课程等诊断与改进工作</w:t>
            </w:r>
          </w:p>
        </w:tc>
        <w:tc>
          <w:tcPr>
            <w:tcW w:w="4684" w:type="dxa"/>
            <w:tcMar>
              <w:top w:w="57" w:type="dxa"/>
              <w:left w:w="108" w:type="dxa"/>
              <w:bottom w:w="57" w:type="dxa"/>
              <w:right w:w="108" w:type="dxa"/>
            </w:tcMar>
            <w:vAlign w:val="center"/>
          </w:tcPr>
          <w:p w14:paraId="71393141">
            <w:pPr>
              <w:adjustRightInd w:val="0"/>
              <w:snapToGrid w:val="0"/>
              <w:rPr>
                <w:rFonts w:hint="eastAsia" w:ascii="宋体" w:hAnsi="宋体" w:eastAsia="宋体"/>
              </w:rPr>
            </w:pPr>
            <w:r>
              <w:rPr>
                <w:rFonts w:hint="eastAsia" w:ascii="楷体" w:hAnsi="楷体" w:eastAsia="楷体" w:cs="宋体"/>
                <w:color w:val="000000"/>
                <w:kern w:val="0"/>
              </w:rPr>
              <w:t>判断依据：</w:t>
            </w:r>
            <w:r>
              <w:rPr>
                <w:rFonts w:hint="eastAsia" w:ascii="宋体" w:hAnsi="宋体" w:eastAsia="宋体"/>
              </w:rPr>
              <w:t>近三年专业课程在信息化教学平台的运行记录与数据分析；近三年依托信息化技术开展课程、专业诊断与改进工作的相关材料</w:t>
            </w:r>
          </w:p>
          <w:p w14:paraId="3A237C5B">
            <w:pPr>
              <w:adjustRightInd w:val="0"/>
              <w:snapToGrid w:val="0"/>
              <w:rPr>
                <w:rFonts w:hint="eastAsia" w:ascii="宋体" w:hAnsi="宋体" w:eastAsia="宋体" w:cs="宋体"/>
                <w:color w:val="000000"/>
                <w:kern w:val="0"/>
              </w:rPr>
            </w:pPr>
            <w:r>
              <w:rPr>
                <w:rFonts w:hint="eastAsia" w:ascii="楷体" w:hAnsi="楷体" w:eastAsia="楷体" w:cs="宋体"/>
                <w:color w:val="000000"/>
                <w:kern w:val="0"/>
              </w:rPr>
              <w:t>具象1：</w:t>
            </w:r>
            <w:r>
              <w:rPr>
                <w:rFonts w:hint="eastAsia" w:ascii="宋体" w:hAnsi="宋体" w:eastAsia="宋体" w:cs="宋体"/>
                <w:color w:val="000000"/>
                <w:kern w:val="0"/>
              </w:rPr>
              <w:t>2023年、2024年、2025年专业在“智慧职教”、“中国大学MOOC”等教学平台开展线上和线下教学数据统计（现场平台查证）</w:t>
            </w:r>
          </w:p>
          <w:p w14:paraId="7E667EB4">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具象2：</w:t>
            </w:r>
            <w:r>
              <w:rPr>
                <w:rFonts w:hint="eastAsia" w:ascii="宋体" w:hAnsi="宋体" w:eastAsia="宋体" w:cs="宋体"/>
                <w:color w:val="000000"/>
                <w:kern w:val="0"/>
              </w:rPr>
              <w:t>2023年、2024年、2025年在教学管理平台，开展专业和课程等的诊断与改进工作的过程数据信息（现场平台查证）</w:t>
            </w:r>
          </w:p>
        </w:tc>
      </w:tr>
      <w:tr w14:paraId="56110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91" w:hRule="atLeast"/>
          <w:jc w:val="right"/>
        </w:trPr>
        <w:tc>
          <w:tcPr>
            <w:tcW w:w="2334" w:type="dxa"/>
            <w:gridSpan w:val="2"/>
            <w:tcMar>
              <w:top w:w="57" w:type="dxa"/>
              <w:left w:w="108" w:type="dxa"/>
              <w:bottom w:w="57" w:type="dxa"/>
              <w:right w:w="108" w:type="dxa"/>
            </w:tcMar>
            <w:vAlign w:val="center"/>
          </w:tcPr>
          <w:p w14:paraId="5399967B">
            <w:pPr>
              <w:adjustRightInd w:val="0"/>
              <w:snapToGrid w:val="0"/>
              <w:ind w:firstLine="0" w:firstLineChars="0"/>
              <w:jc w:val="right"/>
              <w:rPr>
                <w:rFonts w:hint="eastAsia" w:ascii="宋体" w:hAnsi="宋体" w:eastAsia="宋体" w:cs="宋体"/>
                <w:color w:val="000000"/>
                <w:kern w:val="0"/>
              </w:rPr>
            </w:pPr>
            <w:r>
              <w:rPr>
                <w:rFonts w:hint="eastAsia" w:ascii="楷体" w:hAnsi="楷体" w:eastAsia="楷体" w:cs="宋体"/>
                <w:color w:val="000000"/>
                <w:kern w:val="0"/>
              </w:rPr>
              <w:t>查证情况：</w:t>
            </w:r>
          </w:p>
        </w:tc>
        <w:tc>
          <w:tcPr>
            <w:tcW w:w="2976" w:type="dxa"/>
            <w:tcMar>
              <w:top w:w="57" w:type="dxa"/>
              <w:left w:w="108" w:type="dxa"/>
              <w:bottom w:w="57" w:type="dxa"/>
              <w:right w:w="108" w:type="dxa"/>
            </w:tcMar>
            <w:vAlign w:val="center"/>
          </w:tcPr>
          <w:p w14:paraId="462EBC42">
            <w:pPr>
              <w:adjustRightInd w:val="0"/>
              <w:snapToGrid w:val="0"/>
              <w:jc w:val="left"/>
              <w:rPr>
                <w:rFonts w:hint="eastAsia" w:ascii="楷体" w:hAnsi="楷体" w:eastAsia="楷体" w:cs="宋体"/>
                <w:color w:val="000000"/>
                <w:kern w:val="0"/>
              </w:rPr>
            </w:pPr>
            <w:r>
              <w:rPr>
                <w:rFonts w:hint="eastAsia" w:ascii="楷体" w:hAnsi="楷体" w:eastAsia="楷体" w:cs="宋体"/>
                <w:color w:val="000000"/>
                <w:kern w:val="0"/>
              </w:rPr>
              <w:t>具象与基准：符合</w:t>
            </w:r>
          </w:p>
        </w:tc>
        <w:tc>
          <w:tcPr>
            <w:tcW w:w="4684" w:type="dxa"/>
            <w:tcMar>
              <w:top w:w="57" w:type="dxa"/>
              <w:left w:w="108" w:type="dxa"/>
              <w:bottom w:w="57" w:type="dxa"/>
              <w:right w:w="108" w:type="dxa"/>
            </w:tcMar>
            <w:vAlign w:val="center"/>
          </w:tcPr>
          <w:p w14:paraId="09F90613">
            <w:pPr>
              <w:adjustRightInd w:val="0"/>
              <w:snapToGrid w:val="0"/>
              <w:rPr>
                <w:rFonts w:hint="eastAsia" w:ascii="楷体" w:hAnsi="楷体" w:eastAsia="楷体" w:cs="宋体"/>
                <w:color w:val="EE0000"/>
                <w:kern w:val="0"/>
              </w:rPr>
            </w:pPr>
            <w:r>
              <w:rPr>
                <w:rFonts w:hint="eastAsia" w:ascii="楷体" w:hAnsi="楷体" w:eastAsia="楷体" w:cs="宋体"/>
                <w:color w:val="000000"/>
                <w:kern w:val="0"/>
              </w:rPr>
              <w:t>具象与依据：符合</w:t>
            </w:r>
          </w:p>
          <w:p w14:paraId="316AAF11">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采信情况：专业报送材料、学校信息中心、学校教学管理平台和状态数据采集平台相关网站信息，采信</w:t>
            </w:r>
          </w:p>
          <w:p w14:paraId="64CAE070">
            <w:pPr>
              <w:adjustRightInd w:val="0"/>
              <w:snapToGrid w:val="0"/>
              <w:rPr>
                <w:rFonts w:hint="eastAsia" w:ascii="楷体" w:hAnsi="楷体" w:eastAsia="楷体" w:cs="宋体"/>
                <w:color w:val="000000"/>
                <w:kern w:val="0"/>
              </w:rPr>
            </w:pPr>
            <w:r>
              <w:rPr>
                <w:rFonts w:hint="eastAsia" w:ascii="楷体" w:hAnsi="楷体" w:eastAsia="楷体" w:cs="宋体"/>
                <w:color w:val="000000"/>
                <w:kern w:val="0"/>
              </w:rPr>
              <w:t>查证结果：A</w:t>
            </w:r>
          </w:p>
        </w:tc>
      </w:tr>
    </w:tbl>
    <w:p w14:paraId="66CE58E0">
      <w:pPr>
        <w:adjustRightInd w:val="0"/>
        <w:snapToGrid w:val="0"/>
        <w:spacing w:line="360" w:lineRule="auto"/>
        <w:ind w:firstLine="0" w:firstLineChars="0"/>
        <w:rPr>
          <w:rFonts w:hint="eastAsia"/>
          <w:sz w:val="21"/>
          <w:szCs w:val="21"/>
        </w:rPr>
      </w:pPr>
    </w:p>
    <w:sectPr>
      <w:headerReference r:id="rId6" w:type="first"/>
      <w:footerReference r:id="rId9" w:type="first"/>
      <w:footerReference r:id="rId7" w:type="default"/>
      <w:headerReference r:id="rId5" w:type="even"/>
      <w:footerReference r:id="rId8" w:type="even"/>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180"/>
      </w:pPr>
      <w:r>
        <w:separator/>
      </w:r>
    </w:p>
  </w:endnote>
  <w:endnote w:type="continuationSeparator" w:id="1">
    <w:p>
      <w:pPr>
        <w:ind w:firstLine="1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Wingdings 3">
    <w:panose1 w:val="050401020108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A0F7A">
    <w:pPr>
      <w:pStyle w:val="13"/>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2075"/>
                          </w:sdtPr>
                          <w:sdtContent>
                            <w:p w14:paraId="500470AF">
                              <w:pPr>
                                <w:pStyle w:val="13"/>
                                <w:rPr>
                                  <w:rFonts w:hint="eastAsia"/>
                                </w:rPr>
                              </w:pPr>
                              <w:r>
                                <w:fldChar w:fldCharType="begin"/>
                              </w:r>
                              <w:r>
                                <w:instrText xml:space="preserve">PAGE   \* MERGEFORMAT</w:instrText>
                              </w:r>
                              <w:r>
                                <w:fldChar w:fldCharType="separate"/>
                              </w:r>
                              <w:r>
                                <w:rPr>
                                  <w:lang w:val="zh-CN"/>
                                </w:rPr>
                                <w:t>34</w:t>
                              </w:r>
                              <w:r>
                                <w:fldChar w:fldCharType="end"/>
                              </w:r>
                            </w:p>
                          </w:sdtContent>
                        </w:sdt>
                        <w:p w14:paraId="5563C56F">
                          <w:pPr>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47462075"/>
                    </w:sdtPr>
                    <w:sdtContent>
                      <w:p w14:paraId="500470AF">
                        <w:pPr>
                          <w:pStyle w:val="13"/>
                          <w:rPr>
                            <w:rFonts w:hint="eastAsia"/>
                          </w:rPr>
                        </w:pPr>
                        <w:r>
                          <w:fldChar w:fldCharType="begin"/>
                        </w:r>
                        <w:r>
                          <w:instrText xml:space="preserve">PAGE   \* MERGEFORMAT</w:instrText>
                        </w:r>
                        <w:r>
                          <w:fldChar w:fldCharType="separate"/>
                        </w:r>
                        <w:r>
                          <w:rPr>
                            <w:lang w:val="zh-CN"/>
                          </w:rPr>
                          <w:t>34</w:t>
                        </w:r>
                        <w:r>
                          <w:fldChar w:fldCharType="end"/>
                        </w:r>
                      </w:p>
                    </w:sdtContent>
                  </w:sdt>
                  <w:p w14:paraId="5563C56F">
                    <w:pPr>
                      <w:rPr>
                        <w:rFonts w:hint="eastAsi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AB81E">
    <w:pPr>
      <w:rPr>
        <w:rFonts w:hint="eastAsia"/>
      </w:rPr>
    </w:pPr>
    <w:r>
      <w:cr/>
    </w:r>
  </w:p>
  <w:p w14:paraId="69D622F3">
    <w:pPr>
      <w:rPr>
        <w:rFonts w:hint="eastAsia"/>
      </w:rPr>
    </w:pPr>
  </w:p>
  <w:p w14:paraId="5707C321">
    <w:pPr>
      <w:rPr>
        <w:rFonts w:hint="eastAsia"/>
      </w:rPr>
    </w:pPr>
  </w:p>
  <w:p w14:paraId="5FD5B6AF">
    <w:pPr>
      <w:rPr>
        <w:rFonts w:hint="eastAsia"/>
      </w:rPr>
    </w:pPr>
  </w:p>
  <w:p w14:paraId="24CE2E6B">
    <w:pP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FF592">
    <w:pPr>
      <w:rPr>
        <w:rFonts w:hint="eastAsia"/>
      </w:rPr>
    </w:pPr>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180"/>
      </w:pPr>
      <w:r>
        <w:separator/>
      </w:r>
    </w:p>
  </w:footnote>
  <w:footnote w:type="continuationSeparator" w:id="1">
    <w:p>
      <w:pPr>
        <w:ind w:firstLine="1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76DC8">
    <w:pPr>
      <w:rPr>
        <w:rFonts w:hint="eastAsia"/>
      </w:rPr>
    </w:pPr>
    <w:r>
      <w:cr/>
    </w:r>
  </w:p>
  <w:p w14:paraId="6EFB6174">
    <w:pPr>
      <w:rPr>
        <w:rFonts w:hint="eastAsia"/>
      </w:rPr>
    </w:pPr>
  </w:p>
  <w:p w14:paraId="3CD68A24">
    <w:pPr>
      <w:rPr>
        <w:rFonts w:hint="eastAsia"/>
      </w:rPr>
    </w:pPr>
  </w:p>
  <w:p w14:paraId="0D7E493E">
    <w:pPr>
      <w:rPr>
        <w:rFonts w:hint="eastAsia"/>
      </w:rPr>
    </w:pPr>
  </w:p>
  <w:p w14:paraId="40CC91E9">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AA57A">
    <w:pPr>
      <w:rPr>
        <w:rFonts w:hint="eastAsia"/>
      </w:rPr>
    </w:pPr>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6260FA"/>
    <w:multiLevelType w:val="multilevel"/>
    <w:tmpl w:val="646260FA"/>
    <w:lvl w:ilvl="0" w:tentative="0">
      <w:start w:val="1"/>
      <w:numFmt w:val="decimal"/>
      <w:suff w:val="nothing"/>
      <w:lvlText w:val="表%1　"/>
      <w:lvlJc w:val="left"/>
      <w:pPr>
        <w:ind w:left="2551"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MxNzZhOTFjYTUzYmY5MjBkOGI5MzVjNGQ5M2ZjZDIifQ=="/>
  </w:docVars>
  <w:rsids>
    <w:rsidRoot w:val="00E525C8"/>
    <w:rsid w:val="00006AFD"/>
    <w:rsid w:val="00017D8E"/>
    <w:rsid w:val="00020B49"/>
    <w:rsid w:val="00020B51"/>
    <w:rsid w:val="000244A4"/>
    <w:rsid w:val="00037542"/>
    <w:rsid w:val="00050A17"/>
    <w:rsid w:val="000678AF"/>
    <w:rsid w:val="000753C7"/>
    <w:rsid w:val="000915AF"/>
    <w:rsid w:val="000A5910"/>
    <w:rsid w:val="000B0643"/>
    <w:rsid w:val="000C5C79"/>
    <w:rsid w:val="000D5E41"/>
    <w:rsid w:val="000E4A82"/>
    <w:rsid w:val="000E71B9"/>
    <w:rsid w:val="000F0EB0"/>
    <w:rsid w:val="000F5811"/>
    <w:rsid w:val="000F7233"/>
    <w:rsid w:val="001020D0"/>
    <w:rsid w:val="00102916"/>
    <w:rsid w:val="0011633D"/>
    <w:rsid w:val="00125A03"/>
    <w:rsid w:val="00126378"/>
    <w:rsid w:val="00127D8E"/>
    <w:rsid w:val="001321CF"/>
    <w:rsid w:val="00137F6F"/>
    <w:rsid w:val="00140B70"/>
    <w:rsid w:val="00143652"/>
    <w:rsid w:val="0015686B"/>
    <w:rsid w:val="001623F5"/>
    <w:rsid w:val="0016346A"/>
    <w:rsid w:val="00172F76"/>
    <w:rsid w:val="00182468"/>
    <w:rsid w:val="00184B9E"/>
    <w:rsid w:val="00186A70"/>
    <w:rsid w:val="001968E6"/>
    <w:rsid w:val="001A1632"/>
    <w:rsid w:val="001A454D"/>
    <w:rsid w:val="001A4A2E"/>
    <w:rsid w:val="001A5A28"/>
    <w:rsid w:val="001B1224"/>
    <w:rsid w:val="001B409D"/>
    <w:rsid w:val="001B5589"/>
    <w:rsid w:val="001B5B77"/>
    <w:rsid w:val="001C00D4"/>
    <w:rsid w:val="001D67F0"/>
    <w:rsid w:val="001D7B86"/>
    <w:rsid w:val="001E3F71"/>
    <w:rsid w:val="001F05A5"/>
    <w:rsid w:val="001F42A6"/>
    <w:rsid w:val="00202B6D"/>
    <w:rsid w:val="00203541"/>
    <w:rsid w:val="00212262"/>
    <w:rsid w:val="00217E1E"/>
    <w:rsid w:val="0023174D"/>
    <w:rsid w:val="00235427"/>
    <w:rsid w:val="00244EE9"/>
    <w:rsid w:val="00246336"/>
    <w:rsid w:val="00246435"/>
    <w:rsid w:val="002465D9"/>
    <w:rsid w:val="002530EC"/>
    <w:rsid w:val="00254B63"/>
    <w:rsid w:val="002660E3"/>
    <w:rsid w:val="00266F10"/>
    <w:rsid w:val="002942EC"/>
    <w:rsid w:val="002A6167"/>
    <w:rsid w:val="002B3352"/>
    <w:rsid w:val="002B3C9A"/>
    <w:rsid w:val="002C2554"/>
    <w:rsid w:val="002C3881"/>
    <w:rsid w:val="002C6E00"/>
    <w:rsid w:val="002D36B9"/>
    <w:rsid w:val="002E0F03"/>
    <w:rsid w:val="002E3F63"/>
    <w:rsid w:val="002E50B4"/>
    <w:rsid w:val="002E650F"/>
    <w:rsid w:val="002F3758"/>
    <w:rsid w:val="00303414"/>
    <w:rsid w:val="00311271"/>
    <w:rsid w:val="00320185"/>
    <w:rsid w:val="00323AF8"/>
    <w:rsid w:val="003330A8"/>
    <w:rsid w:val="003407AB"/>
    <w:rsid w:val="003453BB"/>
    <w:rsid w:val="00350C60"/>
    <w:rsid w:val="00352511"/>
    <w:rsid w:val="00354EF2"/>
    <w:rsid w:val="003552D6"/>
    <w:rsid w:val="00356D28"/>
    <w:rsid w:val="00362080"/>
    <w:rsid w:val="00366EDA"/>
    <w:rsid w:val="00376567"/>
    <w:rsid w:val="003956FA"/>
    <w:rsid w:val="003A3B0A"/>
    <w:rsid w:val="003B79E1"/>
    <w:rsid w:val="003B7F2E"/>
    <w:rsid w:val="003C10A9"/>
    <w:rsid w:val="003C35D0"/>
    <w:rsid w:val="003C372D"/>
    <w:rsid w:val="003C65DF"/>
    <w:rsid w:val="003D0461"/>
    <w:rsid w:val="003D24C8"/>
    <w:rsid w:val="003D4AA8"/>
    <w:rsid w:val="003D7D94"/>
    <w:rsid w:val="003E1195"/>
    <w:rsid w:val="003F4AEC"/>
    <w:rsid w:val="00402A63"/>
    <w:rsid w:val="004116E3"/>
    <w:rsid w:val="00415380"/>
    <w:rsid w:val="00422BE4"/>
    <w:rsid w:val="00427F90"/>
    <w:rsid w:val="0043262D"/>
    <w:rsid w:val="00436A68"/>
    <w:rsid w:val="004371EC"/>
    <w:rsid w:val="0044045A"/>
    <w:rsid w:val="00447462"/>
    <w:rsid w:val="00450581"/>
    <w:rsid w:val="00454482"/>
    <w:rsid w:val="004568F7"/>
    <w:rsid w:val="00457F3E"/>
    <w:rsid w:val="00463A80"/>
    <w:rsid w:val="00463C0C"/>
    <w:rsid w:val="00465941"/>
    <w:rsid w:val="00470A44"/>
    <w:rsid w:val="00471810"/>
    <w:rsid w:val="004736AD"/>
    <w:rsid w:val="00473C65"/>
    <w:rsid w:val="00474E57"/>
    <w:rsid w:val="004757CA"/>
    <w:rsid w:val="004808F2"/>
    <w:rsid w:val="00480928"/>
    <w:rsid w:val="00481C29"/>
    <w:rsid w:val="004825C2"/>
    <w:rsid w:val="00484973"/>
    <w:rsid w:val="004A23AF"/>
    <w:rsid w:val="004B0BEA"/>
    <w:rsid w:val="004B184B"/>
    <w:rsid w:val="004C34F7"/>
    <w:rsid w:val="004D228D"/>
    <w:rsid w:val="004E09E2"/>
    <w:rsid w:val="004E6149"/>
    <w:rsid w:val="00502F4E"/>
    <w:rsid w:val="00507BE2"/>
    <w:rsid w:val="005140CE"/>
    <w:rsid w:val="0051486A"/>
    <w:rsid w:val="00516365"/>
    <w:rsid w:val="00556D23"/>
    <w:rsid w:val="00566BDA"/>
    <w:rsid w:val="00571163"/>
    <w:rsid w:val="0057554E"/>
    <w:rsid w:val="005807B0"/>
    <w:rsid w:val="00580FD5"/>
    <w:rsid w:val="0058177C"/>
    <w:rsid w:val="00586982"/>
    <w:rsid w:val="00592EF7"/>
    <w:rsid w:val="00596400"/>
    <w:rsid w:val="00597563"/>
    <w:rsid w:val="00597BA0"/>
    <w:rsid w:val="005B435E"/>
    <w:rsid w:val="005B5B42"/>
    <w:rsid w:val="005C17E2"/>
    <w:rsid w:val="005C343F"/>
    <w:rsid w:val="005C71E6"/>
    <w:rsid w:val="005D6A5E"/>
    <w:rsid w:val="005F0B84"/>
    <w:rsid w:val="005F1AA8"/>
    <w:rsid w:val="005F2E5F"/>
    <w:rsid w:val="00602841"/>
    <w:rsid w:val="00606CCC"/>
    <w:rsid w:val="00607DC7"/>
    <w:rsid w:val="00612A83"/>
    <w:rsid w:val="0061345D"/>
    <w:rsid w:val="006158C4"/>
    <w:rsid w:val="00635803"/>
    <w:rsid w:val="00635806"/>
    <w:rsid w:val="00637FD3"/>
    <w:rsid w:val="00640A09"/>
    <w:rsid w:val="00645369"/>
    <w:rsid w:val="006476EC"/>
    <w:rsid w:val="006513AB"/>
    <w:rsid w:val="00653FC3"/>
    <w:rsid w:val="006561B6"/>
    <w:rsid w:val="00667A7D"/>
    <w:rsid w:val="00673330"/>
    <w:rsid w:val="00681DC2"/>
    <w:rsid w:val="00692188"/>
    <w:rsid w:val="006930BB"/>
    <w:rsid w:val="006A16FC"/>
    <w:rsid w:val="006A24BF"/>
    <w:rsid w:val="006B4D89"/>
    <w:rsid w:val="006B7027"/>
    <w:rsid w:val="006B7592"/>
    <w:rsid w:val="006C430E"/>
    <w:rsid w:val="006C5100"/>
    <w:rsid w:val="006C6DDE"/>
    <w:rsid w:val="006D11FA"/>
    <w:rsid w:val="006E1F9A"/>
    <w:rsid w:val="006E28C0"/>
    <w:rsid w:val="006E4EC9"/>
    <w:rsid w:val="006F0A7A"/>
    <w:rsid w:val="007040D7"/>
    <w:rsid w:val="007068EA"/>
    <w:rsid w:val="00707BE7"/>
    <w:rsid w:val="00714C50"/>
    <w:rsid w:val="007238AA"/>
    <w:rsid w:val="00726D8C"/>
    <w:rsid w:val="0074599E"/>
    <w:rsid w:val="00745BB3"/>
    <w:rsid w:val="00750D13"/>
    <w:rsid w:val="0075384D"/>
    <w:rsid w:val="00761A1C"/>
    <w:rsid w:val="007829FE"/>
    <w:rsid w:val="00786EB0"/>
    <w:rsid w:val="00790D71"/>
    <w:rsid w:val="00791F37"/>
    <w:rsid w:val="0079215D"/>
    <w:rsid w:val="00792538"/>
    <w:rsid w:val="00796D96"/>
    <w:rsid w:val="007A1A01"/>
    <w:rsid w:val="007A41E3"/>
    <w:rsid w:val="007B048A"/>
    <w:rsid w:val="007B3B24"/>
    <w:rsid w:val="007B7075"/>
    <w:rsid w:val="007D5D6D"/>
    <w:rsid w:val="007F3037"/>
    <w:rsid w:val="0081495F"/>
    <w:rsid w:val="00823285"/>
    <w:rsid w:val="00830E23"/>
    <w:rsid w:val="00850C29"/>
    <w:rsid w:val="0085195B"/>
    <w:rsid w:val="00857B8B"/>
    <w:rsid w:val="00861822"/>
    <w:rsid w:val="008647AE"/>
    <w:rsid w:val="008859C1"/>
    <w:rsid w:val="0088735C"/>
    <w:rsid w:val="00893223"/>
    <w:rsid w:val="008968CA"/>
    <w:rsid w:val="008A35EF"/>
    <w:rsid w:val="008A56D4"/>
    <w:rsid w:val="008A7D79"/>
    <w:rsid w:val="008C23DF"/>
    <w:rsid w:val="008C386B"/>
    <w:rsid w:val="008D4B96"/>
    <w:rsid w:val="008E5F13"/>
    <w:rsid w:val="008F3EB9"/>
    <w:rsid w:val="00910034"/>
    <w:rsid w:val="0091464B"/>
    <w:rsid w:val="009153D5"/>
    <w:rsid w:val="00915F9D"/>
    <w:rsid w:val="00920ABD"/>
    <w:rsid w:val="009217FF"/>
    <w:rsid w:val="00932377"/>
    <w:rsid w:val="009332D3"/>
    <w:rsid w:val="009357C8"/>
    <w:rsid w:val="00936C0B"/>
    <w:rsid w:val="00941A01"/>
    <w:rsid w:val="0095028E"/>
    <w:rsid w:val="0095291D"/>
    <w:rsid w:val="00952C25"/>
    <w:rsid w:val="00962C01"/>
    <w:rsid w:val="00973FB8"/>
    <w:rsid w:val="00983040"/>
    <w:rsid w:val="009844A7"/>
    <w:rsid w:val="00992D54"/>
    <w:rsid w:val="009A54C4"/>
    <w:rsid w:val="009A7605"/>
    <w:rsid w:val="009B4650"/>
    <w:rsid w:val="009B55E1"/>
    <w:rsid w:val="009C318D"/>
    <w:rsid w:val="009C6E62"/>
    <w:rsid w:val="009D093D"/>
    <w:rsid w:val="009E4C8F"/>
    <w:rsid w:val="009F1A6E"/>
    <w:rsid w:val="009F220D"/>
    <w:rsid w:val="009F24AC"/>
    <w:rsid w:val="00A01EF4"/>
    <w:rsid w:val="00A049DC"/>
    <w:rsid w:val="00A1275F"/>
    <w:rsid w:val="00A1604F"/>
    <w:rsid w:val="00A20DE2"/>
    <w:rsid w:val="00A23835"/>
    <w:rsid w:val="00A32939"/>
    <w:rsid w:val="00A5665E"/>
    <w:rsid w:val="00A57B3B"/>
    <w:rsid w:val="00A60232"/>
    <w:rsid w:val="00A643D1"/>
    <w:rsid w:val="00A66F53"/>
    <w:rsid w:val="00A822F1"/>
    <w:rsid w:val="00A83C71"/>
    <w:rsid w:val="00A83FB1"/>
    <w:rsid w:val="00A86597"/>
    <w:rsid w:val="00A97F76"/>
    <w:rsid w:val="00AA23E7"/>
    <w:rsid w:val="00AA31E3"/>
    <w:rsid w:val="00AA4F96"/>
    <w:rsid w:val="00AC7D11"/>
    <w:rsid w:val="00AE0B67"/>
    <w:rsid w:val="00AF7348"/>
    <w:rsid w:val="00AF7718"/>
    <w:rsid w:val="00B03339"/>
    <w:rsid w:val="00B07C44"/>
    <w:rsid w:val="00B21E40"/>
    <w:rsid w:val="00B2393B"/>
    <w:rsid w:val="00B301CA"/>
    <w:rsid w:val="00B33E29"/>
    <w:rsid w:val="00B34BD4"/>
    <w:rsid w:val="00B57166"/>
    <w:rsid w:val="00B650CE"/>
    <w:rsid w:val="00B67CB4"/>
    <w:rsid w:val="00B721B7"/>
    <w:rsid w:val="00B8516C"/>
    <w:rsid w:val="00B874A2"/>
    <w:rsid w:val="00B92B6E"/>
    <w:rsid w:val="00B978A0"/>
    <w:rsid w:val="00BC7F32"/>
    <w:rsid w:val="00BD195B"/>
    <w:rsid w:val="00BE028C"/>
    <w:rsid w:val="00BF49FB"/>
    <w:rsid w:val="00C05B84"/>
    <w:rsid w:val="00C06385"/>
    <w:rsid w:val="00C11788"/>
    <w:rsid w:val="00C13AD2"/>
    <w:rsid w:val="00C13C19"/>
    <w:rsid w:val="00C16EF8"/>
    <w:rsid w:val="00C24132"/>
    <w:rsid w:val="00C30FF8"/>
    <w:rsid w:val="00C364AF"/>
    <w:rsid w:val="00C36877"/>
    <w:rsid w:val="00C41F61"/>
    <w:rsid w:val="00C508D0"/>
    <w:rsid w:val="00C518DC"/>
    <w:rsid w:val="00C51C13"/>
    <w:rsid w:val="00C63963"/>
    <w:rsid w:val="00C73B22"/>
    <w:rsid w:val="00C77307"/>
    <w:rsid w:val="00C8156A"/>
    <w:rsid w:val="00C91C24"/>
    <w:rsid w:val="00C923F2"/>
    <w:rsid w:val="00C938B6"/>
    <w:rsid w:val="00C94F5C"/>
    <w:rsid w:val="00CA04EE"/>
    <w:rsid w:val="00CA1D86"/>
    <w:rsid w:val="00CA4DF7"/>
    <w:rsid w:val="00CA673E"/>
    <w:rsid w:val="00CA77AE"/>
    <w:rsid w:val="00CB302E"/>
    <w:rsid w:val="00CB368D"/>
    <w:rsid w:val="00CB3A9F"/>
    <w:rsid w:val="00CB6EDF"/>
    <w:rsid w:val="00CC6BFB"/>
    <w:rsid w:val="00CF343E"/>
    <w:rsid w:val="00CF6350"/>
    <w:rsid w:val="00D00194"/>
    <w:rsid w:val="00D00F81"/>
    <w:rsid w:val="00D03A81"/>
    <w:rsid w:val="00D074CA"/>
    <w:rsid w:val="00D11CA7"/>
    <w:rsid w:val="00D146F3"/>
    <w:rsid w:val="00D14833"/>
    <w:rsid w:val="00D14E91"/>
    <w:rsid w:val="00D161D9"/>
    <w:rsid w:val="00D21154"/>
    <w:rsid w:val="00D21653"/>
    <w:rsid w:val="00D23A98"/>
    <w:rsid w:val="00D30BE6"/>
    <w:rsid w:val="00D344C3"/>
    <w:rsid w:val="00D4063E"/>
    <w:rsid w:val="00D407D1"/>
    <w:rsid w:val="00D44A18"/>
    <w:rsid w:val="00D47367"/>
    <w:rsid w:val="00D53077"/>
    <w:rsid w:val="00D573B1"/>
    <w:rsid w:val="00D61586"/>
    <w:rsid w:val="00D6649D"/>
    <w:rsid w:val="00D81372"/>
    <w:rsid w:val="00D8215D"/>
    <w:rsid w:val="00D82FCF"/>
    <w:rsid w:val="00D93B24"/>
    <w:rsid w:val="00DA3C0B"/>
    <w:rsid w:val="00DA6B9D"/>
    <w:rsid w:val="00DB0E42"/>
    <w:rsid w:val="00DB3F1E"/>
    <w:rsid w:val="00DB7354"/>
    <w:rsid w:val="00DB7DD5"/>
    <w:rsid w:val="00DC287F"/>
    <w:rsid w:val="00DC48DF"/>
    <w:rsid w:val="00DD1F48"/>
    <w:rsid w:val="00DD2C52"/>
    <w:rsid w:val="00DD487D"/>
    <w:rsid w:val="00DE4286"/>
    <w:rsid w:val="00DE6B89"/>
    <w:rsid w:val="00DF2771"/>
    <w:rsid w:val="00DF41A6"/>
    <w:rsid w:val="00DF59B6"/>
    <w:rsid w:val="00E028BE"/>
    <w:rsid w:val="00E067B8"/>
    <w:rsid w:val="00E0799E"/>
    <w:rsid w:val="00E103BE"/>
    <w:rsid w:val="00E1280B"/>
    <w:rsid w:val="00E132B8"/>
    <w:rsid w:val="00E13CCD"/>
    <w:rsid w:val="00E14A2A"/>
    <w:rsid w:val="00E179F0"/>
    <w:rsid w:val="00E525C8"/>
    <w:rsid w:val="00E55C33"/>
    <w:rsid w:val="00E650A6"/>
    <w:rsid w:val="00E71F1C"/>
    <w:rsid w:val="00E7247C"/>
    <w:rsid w:val="00E75039"/>
    <w:rsid w:val="00E768CC"/>
    <w:rsid w:val="00E7790F"/>
    <w:rsid w:val="00E818D0"/>
    <w:rsid w:val="00E820DC"/>
    <w:rsid w:val="00E82DA7"/>
    <w:rsid w:val="00E83580"/>
    <w:rsid w:val="00E86713"/>
    <w:rsid w:val="00E9689D"/>
    <w:rsid w:val="00EA3A55"/>
    <w:rsid w:val="00EB0A48"/>
    <w:rsid w:val="00EB1B25"/>
    <w:rsid w:val="00EB698D"/>
    <w:rsid w:val="00EC4AF9"/>
    <w:rsid w:val="00EC5C45"/>
    <w:rsid w:val="00ED23E9"/>
    <w:rsid w:val="00ED4715"/>
    <w:rsid w:val="00ED57A3"/>
    <w:rsid w:val="00EE15A1"/>
    <w:rsid w:val="00EE1C2B"/>
    <w:rsid w:val="00EE64F5"/>
    <w:rsid w:val="00EF4EC5"/>
    <w:rsid w:val="00EF66CC"/>
    <w:rsid w:val="00F009F9"/>
    <w:rsid w:val="00F00E27"/>
    <w:rsid w:val="00F01AA1"/>
    <w:rsid w:val="00F06D0A"/>
    <w:rsid w:val="00F152BC"/>
    <w:rsid w:val="00F16173"/>
    <w:rsid w:val="00F17E91"/>
    <w:rsid w:val="00F246CB"/>
    <w:rsid w:val="00F30CB2"/>
    <w:rsid w:val="00F32601"/>
    <w:rsid w:val="00F45B12"/>
    <w:rsid w:val="00F460CF"/>
    <w:rsid w:val="00F472E0"/>
    <w:rsid w:val="00F47AA3"/>
    <w:rsid w:val="00F62DF8"/>
    <w:rsid w:val="00F64CE0"/>
    <w:rsid w:val="00F7421F"/>
    <w:rsid w:val="00F77B16"/>
    <w:rsid w:val="00F8262E"/>
    <w:rsid w:val="00F83E05"/>
    <w:rsid w:val="00F9474B"/>
    <w:rsid w:val="00FA5B78"/>
    <w:rsid w:val="00FA743D"/>
    <w:rsid w:val="00FD36B2"/>
    <w:rsid w:val="00FD5447"/>
    <w:rsid w:val="00FE08A5"/>
    <w:rsid w:val="00FE5F08"/>
    <w:rsid w:val="01396E1E"/>
    <w:rsid w:val="01987FE8"/>
    <w:rsid w:val="0217264C"/>
    <w:rsid w:val="027F4D04"/>
    <w:rsid w:val="035D3297"/>
    <w:rsid w:val="0381685A"/>
    <w:rsid w:val="0394658D"/>
    <w:rsid w:val="03B47D38"/>
    <w:rsid w:val="04762E2B"/>
    <w:rsid w:val="04806B11"/>
    <w:rsid w:val="04F55751"/>
    <w:rsid w:val="04FC0F44"/>
    <w:rsid w:val="05726DA2"/>
    <w:rsid w:val="059D3E1F"/>
    <w:rsid w:val="0619721E"/>
    <w:rsid w:val="06255BC2"/>
    <w:rsid w:val="068A3C77"/>
    <w:rsid w:val="06AB60C8"/>
    <w:rsid w:val="06EB2968"/>
    <w:rsid w:val="07011E16"/>
    <w:rsid w:val="072D11D3"/>
    <w:rsid w:val="074107DA"/>
    <w:rsid w:val="07B74F40"/>
    <w:rsid w:val="08307D25"/>
    <w:rsid w:val="087E15BA"/>
    <w:rsid w:val="08AC4379"/>
    <w:rsid w:val="093E76C7"/>
    <w:rsid w:val="09903C9B"/>
    <w:rsid w:val="099C526E"/>
    <w:rsid w:val="0A3E680D"/>
    <w:rsid w:val="0A682522"/>
    <w:rsid w:val="0B00275A"/>
    <w:rsid w:val="0B060900"/>
    <w:rsid w:val="0B13248D"/>
    <w:rsid w:val="0B3F7062"/>
    <w:rsid w:val="0B4E34C6"/>
    <w:rsid w:val="0B52426A"/>
    <w:rsid w:val="0B6B4077"/>
    <w:rsid w:val="0BB023D2"/>
    <w:rsid w:val="0BE1258C"/>
    <w:rsid w:val="0BEB51B8"/>
    <w:rsid w:val="0C34090D"/>
    <w:rsid w:val="0CF12CA2"/>
    <w:rsid w:val="0D837D9E"/>
    <w:rsid w:val="0DA41AC3"/>
    <w:rsid w:val="0DE16873"/>
    <w:rsid w:val="0DF540CC"/>
    <w:rsid w:val="0E0367E9"/>
    <w:rsid w:val="0EBE6BB4"/>
    <w:rsid w:val="0FCC2654"/>
    <w:rsid w:val="0FCE72CB"/>
    <w:rsid w:val="112453F4"/>
    <w:rsid w:val="113B0990"/>
    <w:rsid w:val="11C91AF8"/>
    <w:rsid w:val="11E76422"/>
    <w:rsid w:val="11E84674"/>
    <w:rsid w:val="121A05A5"/>
    <w:rsid w:val="12665599"/>
    <w:rsid w:val="137D703E"/>
    <w:rsid w:val="14333BA0"/>
    <w:rsid w:val="14D47131"/>
    <w:rsid w:val="15415C5E"/>
    <w:rsid w:val="15B64A89"/>
    <w:rsid w:val="165E3829"/>
    <w:rsid w:val="166938A9"/>
    <w:rsid w:val="17051F84"/>
    <w:rsid w:val="17397720"/>
    <w:rsid w:val="1767428D"/>
    <w:rsid w:val="18251A52"/>
    <w:rsid w:val="18502F73"/>
    <w:rsid w:val="18F465E3"/>
    <w:rsid w:val="19670574"/>
    <w:rsid w:val="198B234D"/>
    <w:rsid w:val="19CA1F4D"/>
    <w:rsid w:val="1A277D03"/>
    <w:rsid w:val="1AEF6A73"/>
    <w:rsid w:val="1B5F527B"/>
    <w:rsid w:val="1C6C2CF5"/>
    <w:rsid w:val="1CC23D13"/>
    <w:rsid w:val="1CF06AD2"/>
    <w:rsid w:val="1D0246DF"/>
    <w:rsid w:val="1D7B2840"/>
    <w:rsid w:val="1DFE521F"/>
    <w:rsid w:val="1E7948A6"/>
    <w:rsid w:val="1F095C2A"/>
    <w:rsid w:val="1FE31481"/>
    <w:rsid w:val="1FE83A91"/>
    <w:rsid w:val="1FEC17D3"/>
    <w:rsid w:val="1FF16477"/>
    <w:rsid w:val="1FF468DA"/>
    <w:rsid w:val="200A3A07"/>
    <w:rsid w:val="201605FE"/>
    <w:rsid w:val="21115269"/>
    <w:rsid w:val="212C5BFF"/>
    <w:rsid w:val="21D841C9"/>
    <w:rsid w:val="224156DA"/>
    <w:rsid w:val="22941CAE"/>
    <w:rsid w:val="2302130E"/>
    <w:rsid w:val="23312179"/>
    <w:rsid w:val="23737B15"/>
    <w:rsid w:val="24747FE9"/>
    <w:rsid w:val="2482431B"/>
    <w:rsid w:val="249C309C"/>
    <w:rsid w:val="24E95BAC"/>
    <w:rsid w:val="25781413"/>
    <w:rsid w:val="26127ABA"/>
    <w:rsid w:val="26136F45"/>
    <w:rsid w:val="261C4494"/>
    <w:rsid w:val="26263565"/>
    <w:rsid w:val="26377520"/>
    <w:rsid w:val="26527EB6"/>
    <w:rsid w:val="265359DC"/>
    <w:rsid w:val="26DC3C24"/>
    <w:rsid w:val="27003DB6"/>
    <w:rsid w:val="27677991"/>
    <w:rsid w:val="27913061"/>
    <w:rsid w:val="27BE1DE5"/>
    <w:rsid w:val="27E823ED"/>
    <w:rsid w:val="28E76FBD"/>
    <w:rsid w:val="2976210D"/>
    <w:rsid w:val="29CE019B"/>
    <w:rsid w:val="2A3B71B6"/>
    <w:rsid w:val="2A8F64A0"/>
    <w:rsid w:val="2B1E480B"/>
    <w:rsid w:val="2B41674B"/>
    <w:rsid w:val="2B512E32"/>
    <w:rsid w:val="2BEA65F4"/>
    <w:rsid w:val="2C097269"/>
    <w:rsid w:val="2C5C3E1B"/>
    <w:rsid w:val="2C87151D"/>
    <w:rsid w:val="2CB74F17"/>
    <w:rsid w:val="2CE850D0"/>
    <w:rsid w:val="2D76092E"/>
    <w:rsid w:val="2DA3549B"/>
    <w:rsid w:val="2DEA63D1"/>
    <w:rsid w:val="2E110657"/>
    <w:rsid w:val="2E813A2E"/>
    <w:rsid w:val="2E8B0409"/>
    <w:rsid w:val="2F963509"/>
    <w:rsid w:val="30087837"/>
    <w:rsid w:val="312863E3"/>
    <w:rsid w:val="3186310A"/>
    <w:rsid w:val="336B0809"/>
    <w:rsid w:val="33A1247D"/>
    <w:rsid w:val="33B757FC"/>
    <w:rsid w:val="33F22CD1"/>
    <w:rsid w:val="3455294C"/>
    <w:rsid w:val="34802092"/>
    <w:rsid w:val="34D66156"/>
    <w:rsid w:val="34FF38FF"/>
    <w:rsid w:val="356A0850"/>
    <w:rsid w:val="366F23BE"/>
    <w:rsid w:val="371F5B92"/>
    <w:rsid w:val="372413FB"/>
    <w:rsid w:val="37461371"/>
    <w:rsid w:val="37753A04"/>
    <w:rsid w:val="37D7646D"/>
    <w:rsid w:val="37EF7C5B"/>
    <w:rsid w:val="382F0057"/>
    <w:rsid w:val="388365F5"/>
    <w:rsid w:val="38B22266"/>
    <w:rsid w:val="38C033A5"/>
    <w:rsid w:val="3905700A"/>
    <w:rsid w:val="3914724D"/>
    <w:rsid w:val="39565AB7"/>
    <w:rsid w:val="39A46823"/>
    <w:rsid w:val="39C228E4"/>
    <w:rsid w:val="39FE23D7"/>
    <w:rsid w:val="3A6A35C8"/>
    <w:rsid w:val="3AD44EE6"/>
    <w:rsid w:val="3B06334B"/>
    <w:rsid w:val="3B225C51"/>
    <w:rsid w:val="3BBD6EAA"/>
    <w:rsid w:val="3C0D4B53"/>
    <w:rsid w:val="3C5067EE"/>
    <w:rsid w:val="3CE05DC4"/>
    <w:rsid w:val="3DF633C5"/>
    <w:rsid w:val="3DF71617"/>
    <w:rsid w:val="3E467EA9"/>
    <w:rsid w:val="3E854E75"/>
    <w:rsid w:val="3EC3599D"/>
    <w:rsid w:val="3EF47905"/>
    <w:rsid w:val="3F5356B7"/>
    <w:rsid w:val="3F583DDD"/>
    <w:rsid w:val="3F827606"/>
    <w:rsid w:val="40AB5F57"/>
    <w:rsid w:val="411029F0"/>
    <w:rsid w:val="412C5A7C"/>
    <w:rsid w:val="417D62D7"/>
    <w:rsid w:val="418C2076"/>
    <w:rsid w:val="428C07D7"/>
    <w:rsid w:val="43BC29BB"/>
    <w:rsid w:val="43CF26EE"/>
    <w:rsid w:val="44150A49"/>
    <w:rsid w:val="443A04B0"/>
    <w:rsid w:val="444C1F91"/>
    <w:rsid w:val="449556E6"/>
    <w:rsid w:val="455C26A8"/>
    <w:rsid w:val="45B918A8"/>
    <w:rsid w:val="45B95404"/>
    <w:rsid w:val="46205483"/>
    <w:rsid w:val="46671304"/>
    <w:rsid w:val="467001B9"/>
    <w:rsid w:val="467D4684"/>
    <w:rsid w:val="46A165C4"/>
    <w:rsid w:val="47B77521"/>
    <w:rsid w:val="49A87C69"/>
    <w:rsid w:val="49E4572E"/>
    <w:rsid w:val="4A1D40E9"/>
    <w:rsid w:val="4A6022F2"/>
    <w:rsid w:val="4B2652EA"/>
    <w:rsid w:val="4B3B68BB"/>
    <w:rsid w:val="4B726781"/>
    <w:rsid w:val="4BA6642B"/>
    <w:rsid w:val="4C1838D8"/>
    <w:rsid w:val="4D317F76"/>
    <w:rsid w:val="4D447CA9"/>
    <w:rsid w:val="4D5C1DE2"/>
    <w:rsid w:val="4D9329DF"/>
    <w:rsid w:val="4DC82688"/>
    <w:rsid w:val="4EA76741"/>
    <w:rsid w:val="4F0E4A13"/>
    <w:rsid w:val="4F2A1121"/>
    <w:rsid w:val="4F9C201E"/>
    <w:rsid w:val="501E6ED7"/>
    <w:rsid w:val="50C51101"/>
    <w:rsid w:val="50C7131D"/>
    <w:rsid w:val="51024103"/>
    <w:rsid w:val="522B1438"/>
    <w:rsid w:val="52397FF8"/>
    <w:rsid w:val="5249383B"/>
    <w:rsid w:val="52952D55"/>
    <w:rsid w:val="52A82A88"/>
    <w:rsid w:val="52AB07CA"/>
    <w:rsid w:val="52DC0984"/>
    <w:rsid w:val="53146370"/>
    <w:rsid w:val="539B083F"/>
    <w:rsid w:val="53D578AD"/>
    <w:rsid w:val="549E4143"/>
    <w:rsid w:val="54A87049"/>
    <w:rsid w:val="557B0928"/>
    <w:rsid w:val="557C6707"/>
    <w:rsid w:val="55886BA1"/>
    <w:rsid w:val="559B68D4"/>
    <w:rsid w:val="55A27C63"/>
    <w:rsid w:val="55BB6F76"/>
    <w:rsid w:val="55C027DF"/>
    <w:rsid w:val="55CE6CAA"/>
    <w:rsid w:val="55FA1D61"/>
    <w:rsid w:val="56220DA3"/>
    <w:rsid w:val="57087F99"/>
    <w:rsid w:val="57A777B2"/>
    <w:rsid w:val="58472D43"/>
    <w:rsid w:val="586027F4"/>
    <w:rsid w:val="596B2359"/>
    <w:rsid w:val="5A6269F6"/>
    <w:rsid w:val="5B661732"/>
    <w:rsid w:val="5B793214"/>
    <w:rsid w:val="5B912029"/>
    <w:rsid w:val="5BC00E43"/>
    <w:rsid w:val="5BF3746A"/>
    <w:rsid w:val="5C190553"/>
    <w:rsid w:val="5C1D0043"/>
    <w:rsid w:val="5C602626"/>
    <w:rsid w:val="5C837194"/>
    <w:rsid w:val="5CAE15E3"/>
    <w:rsid w:val="5CBB1164"/>
    <w:rsid w:val="5D373386"/>
    <w:rsid w:val="5F30008D"/>
    <w:rsid w:val="5F5846A8"/>
    <w:rsid w:val="5FA2743C"/>
    <w:rsid w:val="60602BF4"/>
    <w:rsid w:val="608E59B3"/>
    <w:rsid w:val="60EB4BB4"/>
    <w:rsid w:val="616E7593"/>
    <w:rsid w:val="61C176C2"/>
    <w:rsid w:val="63FA3360"/>
    <w:rsid w:val="643F3BE8"/>
    <w:rsid w:val="647E5D3F"/>
    <w:rsid w:val="65200BE5"/>
    <w:rsid w:val="657809E0"/>
    <w:rsid w:val="65FC33BF"/>
    <w:rsid w:val="66882EA5"/>
    <w:rsid w:val="66F100FE"/>
    <w:rsid w:val="676C13BD"/>
    <w:rsid w:val="67ED7463"/>
    <w:rsid w:val="68570D81"/>
    <w:rsid w:val="689A0C6D"/>
    <w:rsid w:val="68C31504"/>
    <w:rsid w:val="69704CF5"/>
    <w:rsid w:val="69A81570"/>
    <w:rsid w:val="69CC405F"/>
    <w:rsid w:val="6A527A52"/>
    <w:rsid w:val="6BBF1117"/>
    <w:rsid w:val="6BD456E7"/>
    <w:rsid w:val="6C9F2CF6"/>
    <w:rsid w:val="6CA16A6E"/>
    <w:rsid w:val="6CA607CB"/>
    <w:rsid w:val="6D716441"/>
    <w:rsid w:val="6D965EA7"/>
    <w:rsid w:val="6E19416C"/>
    <w:rsid w:val="6E2E60E0"/>
    <w:rsid w:val="6EDE7FE6"/>
    <w:rsid w:val="6F63000B"/>
    <w:rsid w:val="71956476"/>
    <w:rsid w:val="72C54B39"/>
    <w:rsid w:val="73E122F4"/>
    <w:rsid w:val="7416389E"/>
    <w:rsid w:val="745F3497"/>
    <w:rsid w:val="747131CA"/>
    <w:rsid w:val="74AF5AA0"/>
    <w:rsid w:val="74C257D4"/>
    <w:rsid w:val="75297601"/>
    <w:rsid w:val="75385A96"/>
    <w:rsid w:val="759C7879"/>
    <w:rsid w:val="76C375E1"/>
    <w:rsid w:val="76E2215D"/>
    <w:rsid w:val="77274014"/>
    <w:rsid w:val="77387FCF"/>
    <w:rsid w:val="77536BB7"/>
    <w:rsid w:val="7769462C"/>
    <w:rsid w:val="78A82F32"/>
    <w:rsid w:val="78F9378E"/>
    <w:rsid w:val="7C15268D"/>
    <w:rsid w:val="7C8141C6"/>
    <w:rsid w:val="7C894555"/>
    <w:rsid w:val="7C8A4E29"/>
    <w:rsid w:val="7D124E1E"/>
    <w:rsid w:val="7D20753B"/>
    <w:rsid w:val="7E926217"/>
    <w:rsid w:val="7F217178"/>
    <w:rsid w:val="7FBA6898"/>
    <w:rsid w:val="7FEF6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0"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80" w:firstLineChars="100"/>
      <w:jc w:val="both"/>
    </w:pPr>
    <w:rPr>
      <w:rFonts w:cs="Times New Roman" w:asciiTheme="minorEastAsia" w:hAnsiTheme="minorEastAsia" w:eastAsiaTheme="minorEastAsia"/>
      <w:kern w:val="2"/>
      <w:sz w:val="18"/>
      <w:szCs w:val="18"/>
      <w:lang w:val="en-US" w:eastAsia="zh-CN" w:bidi="ar-SA"/>
    </w:rPr>
  </w:style>
  <w:style w:type="paragraph" w:styleId="2">
    <w:name w:val="heading 1"/>
    <w:basedOn w:val="1"/>
    <w:next w:val="1"/>
    <w:link w:val="23"/>
    <w:qFormat/>
    <w:uiPriority w:val="0"/>
    <w:pPr>
      <w:keepNext/>
      <w:keepLines/>
      <w:spacing w:before="340" w:after="330" w:line="578" w:lineRule="atLeast"/>
      <w:jc w:val="center"/>
      <w:outlineLvl w:val="0"/>
    </w:pPr>
    <w:rPr>
      <w:bCs/>
      <w:kern w:val="44"/>
      <w:sz w:val="32"/>
      <w:szCs w:val="44"/>
    </w:rPr>
  </w:style>
  <w:style w:type="paragraph" w:styleId="3">
    <w:name w:val="heading 2"/>
    <w:basedOn w:val="1"/>
    <w:next w:val="1"/>
    <w:link w:val="29"/>
    <w:unhideWhenUsed/>
    <w:qFormat/>
    <w:uiPriority w:val="0"/>
    <w:pPr>
      <w:keepNext/>
      <w:keepLines/>
      <w:spacing w:before="260" w:after="260" w:line="416" w:lineRule="atLeast"/>
      <w:ind w:firstLine="0" w:firstLineChars="0"/>
      <w:outlineLvl w:val="1"/>
    </w:pPr>
    <w:rPr>
      <w:rFonts w:asciiTheme="majorHAnsi" w:hAnsiTheme="majorHAnsi" w:eastAsiaTheme="majorEastAsia" w:cstheme="majorBidi"/>
      <w:b/>
      <w:bCs/>
      <w:sz w:val="30"/>
    </w:rPr>
  </w:style>
  <w:style w:type="paragraph" w:styleId="4">
    <w:name w:val="heading 3"/>
    <w:basedOn w:val="1"/>
    <w:next w:val="1"/>
    <w:link w:val="24"/>
    <w:unhideWhenUsed/>
    <w:qFormat/>
    <w:uiPriority w:val="0"/>
    <w:pPr>
      <w:keepNext/>
      <w:keepLines/>
      <w:spacing w:before="260" w:after="260" w:line="416" w:lineRule="atLeast"/>
      <w:ind w:firstLine="0" w:firstLineChars="0"/>
      <w:outlineLvl w:val="2"/>
    </w:pPr>
    <w:rPr>
      <w:bCs/>
      <w:sz w:val="28"/>
    </w:rPr>
  </w:style>
  <w:style w:type="paragraph" w:styleId="5">
    <w:name w:val="heading 4"/>
    <w:basedOn w:val="1"/>
    <w:next w:val="1"/>
    <w:link w:val="34"/>
    <w:unhideWhenUsed/>
    <w:qFormat/>
    <w:uiPriority w:val="0"/>
    <w:pPr>
      <w:keepNext/>
      <w:keepLines/>
      <w:spacing w:before="280" w:after="290" w:line="376" w:lineRule="atLeast"/>
      <w:ind w:firstLine="0" w:firstLineChars="0"/>
      <w:outlineLvl w:val="3"/>
    </w:pPr>
    <w:rPr>
      <w:rFonts w:asciiTheme="majorHAnsi" w:hAnsiTheme="majorHAnsi" w:eastAsiaTheme="majorEastAsia" w:cstheme="majorBidi"/>
      <w:bCs/>
      <w:sz w:val="24"/>
      <w:szCs w:val="28"/>
    </w:rPr>
  </w:style>
  <w:style w:type="paragraph" w:styleId="6">
    <w:name w:val="heading 5"/>
    <w:basedOn w:val="1"/>
    <w:next w:val="1"/>
    <w:link w:val="47"/>
    <w:semiHidden/>
    <w:unhideWhenUsed/>
    <w:qFormat/>
    <w:uiPriority w:val="9"/>
    <w:pPr>
      <w:keepNext/>
      <w:keepLines/>
      <w:spacing w:before="80" w:after="40"/>
      <w:ind w:firstLine="0" w:firstLineChars="0"/>
      <w:outlineLvl w:val="4"/>
    </w:pPr>
    <w:rPr>
      <w:rFonts w:asciiTheme="minorHAnsi" w:hAnsiTheme="minorHAnsi" w:cstheme="majorBidi"/>
      <w:color w:val="2E54A1" w:themeColor="accent1" w:themeShade="BF"/>
      <w:sz w:val="24"/>
      <w:szCs w:val="24"/>
      <w14:ligatures w14:val="standardContextual"/>
    </w:rPr>
  </w:style>
  <w:style w:type="paragraph" w:styleId="7">
    <w:name w:val="heading 6"/>
    <w:basedOn w:val="1"/>
    <w:next w:val="1"/>
    <w:link w:val="48"/>
    <w:semiHidden/>
    <w:unhideWhenUsed/>
    <w:qFormat/>
    <w:uiPriority w:val="9"/>
    <w:pPr>
      <w:keepNext/>
      <w:keepLines/>
      <w:spacing w:before="40"/>
      <w:ind w:firstLine="0" w:firstLineChars="0"/>
      <w:outlineLvl w:val="5"/>
    </w:pPr>
    <w:rPr>
      <w:rFonts w:asciiTheme="minorHAnsi" w:hAnsiTheme="minorHAnsi" w:cstheme="majorBidi"/>
      <w:b/>
      <w:bCs/>
      <w:color w:val="2E54A1" w:themeColor="accent1" w:themeShade="BF"/>
      <w:sz w:val="21"/>
      <w:szCs w:val="21"/>
      <w14:ligatures w14:val="standardContextual"/>
    </w:rPr>
  </w:style>
  <w:style w:type="paragraph" w:styleId="8">
    <w:name w:val="heading 7"/>
    <w:basedOn w:val="1"/>
    <w:next w:val="1"/>
    <w:link w:val="49"/>
    <w:semiHidden/>
    <w:unhideWhenUsed/>
    <w:qFormat/>
    <w:uiPriority w:val="9"/>
    <w:pPr>
      <w:keepNext/>
      <w:keepLines/>
      <w:spacing w:before="40"/>
      <w:ind w:firstLine="0" w:firstLineChars="0"/>
      <w:outlineLvl w:val="6"/>
    </w:pPr>
    <w:rPr>
      <w:rFonts w:asciiTheme="minorHAnsi" w:hAnsiTheme="minorHAnsi" w:cstheme="majorBidi"/>
      <w:b/>
      <w:bCs/>
      <w:color w:val="595959" w:themeColor="text1" w:themeTint="A6"/>
      <w:sz w:val="21"/>
      <w:szCs w:val="21"/>
      <w14:textFill>
        <w14:solidFill>
          <w14:schemeClr w14:val="tx1">
            <w14:lumMod w14:val="65000"/>
            <w14:lumOff w14:val="35000"/>
          </w14:schemeClr>
        </w14:solidFill>
      </w14:textFill>
      <w14:ligatures w14:val="standardContextual"/>
    </w:rPr>
  </w:style>
  <w:style w:type="paragraph" w:styleId="9">
    <w:name w:val="heading 8"/>
    <w:basedOn w:val="1"/>
    <w:next w:val="1"/>
    <w:link w:val="36"/>
    <w:semiHidden/>
    <w:unhideWhenUsed/>
    <w:qFormat/>
    <w:uiPriority w:val="0"/>
    <w:pPr>
      <w:keepNext/>
      <w:keepLines/>
      <w:spacing w:before="240" w:after="64" w:line="320" w:lineRule="atLeast"/>
      <w:outlineLvl w:val="7"/>
    </w:pPr>
    <w:rPr>
      <w:rFonts w:asciiTheme="majorHAnsi" w:hAnsiTheme="majorHAnsi" w:eastAsiaTheme="majorEastAsia" w:cstheme="majorBidi"/>
      <w:sz w:val="24"/>
      <w:szCs w:val="24"/>
    </w:rPr>
  </w:style>
  <w:style w:type="paragraph" w:styleId="10">
    <w:name w:val="heading 9"/>
    <w:basedOn w:val="1"/>
    <w:next w:val="1"/>
    <w:link w:val="50"/>
    <w:semiHidden/>
    <w:unhideWhenUsed/>
    <w:qFormat/>
    <w:uiPriority w:val="9"/>
    <w:pPr>
      <w:keepNext/>
      <w:keepLines/>
      <w:ind w:firstLine="0" w:firstLineChars="0"/>
      <w:outlineLvl w:val="8"/>
    </w:pPr>
    <w:rPr>
      <w:rFonts w:asciiTheme="minorHAnsi" w:hAnsiTheme="minorHAnsi" w:eastAsiaTheme="majorEastAsia" w:cstheme="majorBidi"/>
      <w:color w:val="595959" w:themeColor="text1" w:themeTint="A6"/>
      <w:sz w:val="21"/>
      <w:szCs w:val="21"/>
      <w14:textFill>
        <w14:solidFill>
          <w14:schemeClr w14:val="tx1">
            <w14:lumMod w14:val="65000"/>
            <w14:lumOff w14:val="35000"/>
          </w14:schemeClr>
        </w14:solidFill>
      </w14:textFill>
      <w14:ligatures w14:val="standardContextual"/>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unhideWhenUsed/>
    <w:qFormat/>
    <w:uiPriority w:val="35"/>
    <w:pPr>
      <w:spacing w:line="288" w:lineRule="auto"/>
      <w:ind w:firstLine="200" w:firstLineChars="200"/>
      <w:contextualSpacing/>
    </w:pPr>
    <w:rPr>
      <w:rFonts w:eastAsia="黑体" w:asciiTheme="majorHAnsi" w:hAnsiTheme="majorHAnsi" w:cstheme="majorBidi"/>
      <w:b/>
      <w:sz w:val="20"/>
      <w:szCs w:val="20"/>
      <w14:ligatures w14:val="standardContextual"/>
    </w:rPr>
  </w:style>
  <w:style w:type="paragraph" w:styleId="12">
    <w:name w:val="Body Text"/>
    <w:basedOn w:val="1"/>
    <w:link w:val="32"/>
    <w:qFormat/>
    <w:uiPriority w:val="0"/>
    <w:pPr>
      <w:spacing w:after="120"/>
    </w:pPr>
  </w:style>
  <w:style w:type="paragraph" w:styleId="13">
    <w:name w:val="footer"/>
    <w:basedOn w:val="1"/>
    <w:link w:val="26"/>
    <w:qFormat/>
    <w:uiPriority w:val="99"/>
    <w:pPr>
      <w:tabs>
        <w:tab w:val="center" w:pos="4153"/>
        <w:tab w:val="right" w:pos="8306"/>
      </w:tabs>
    </w:pPr>
  </w:style>
  <w:style w:type="paragraph" w:styleId="14">
    <w:name w:val="header"/>
    <w:basedOn w:val="1"/>
    <w:link w:val="25"/>
    <w:qFormat/>
    <w:uiPriority w:val="0"/>
    <w:pPr>
      <w:tabs>
        <w:tab w:val="center" w:pos="4153"/>
        <w:tab w:val="right" w:pos="8306"/>
      </w:tabs>
    </w:pPr>
  </w:style>
  <w:style w:type="paragraph" w:styleId="15">
    <w:name w:val="Subtitle"/>
    <w:basedOn w:val="1"/>
    <w:next w:val="1"/>
    <w:link w:val="33"/>
    <w:qFormat/>
    <w:uiPriority w:val="11"/>
    <w:pPr>
      <w:spacing w:line="288" w:lineRule="auto"/>
      <w:ind w:left="2" w:firstLine="200" w:firstLineChars="200"/>
      <w:contextualSpacing/>
    </w:pPr>
    <w:rPr>
      <w:rFonts w:asciiTheme="majorHAnsi" w:hAnsiTheme="majorHAnsi" w:eastAsiaTheme="majorEastAsia" w:cstheme="majorBidi"/>
      <w:b/>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6">
    <w:name w:val="Normal (Web)"/>
    <w:basedOn w:val="1"/>
    <w:unhideWhenUsed/>
    <w:qFormat/>
    <w:uiPriority w:val="99"/>
    <w:pPr>
      <w:spacing w:before="100" w:beforeAutospacing="1" w:after="100" w:afterAutospacing="1"/>
    </w:pPr>
    <w:rPr>
      <w:rFonts w:ascii="宋体" w:hAnsi="宋体" w:eastAsia="宋体" w:cs="宋体"/>
      <w:b/>
      <w:kern w:val="0"/>
      <w:sz w:val="24"/>
      <w:szCs w:val="24"/>
    </w:rPr>
  </w:style>
  <w:style w:type="paragraph" w:styleId="17">
    <w:name w:val="Title"/>
    <w:basedOn w:val="1"/>
    <w:next w:val="1"/>
    <w:link w:val="28"/>
    <w:qFormat/>
    <w:uiPriority w:val="10"/>
    <w:pPr>
      <w:spacing w:before="240" w:after="60"/>
      <w:outlineLvl w:val="0"/>
    </w:pPr>
    <w:rPr>
      <w:rFonts w:asciiTheme="majorHAnsi" w:hAnsiTheme="majorHAnsi" w:eastAsiaTheme="majorEastAsia" w:cstheme="majorBidi"/>
      <w:bCs/>
    </w:r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bCs/>
    </w:rPr>
  </w:style>
  <w:style w:type="character" w:styleId="22">
    <w:name w:val="Hyperlink"/>
    <w:basedOn w:val="20"/>
    <w:qFormat/>
    <w:uiPriority w:val="0"/>
    <w:rPr>
      <w:color w:val="0026E5" w:themeColor="hyperlink"/>
      <w:u w:val="single"/>
      <w14:textFill>
        <w14:solidFill>
          <w14:schemeClr w14:val="hlink"/>
        </w14:solidFill>
      </w14:textFill>
    </w:rPr>
  </w:style>
  <w:style w:type="character" w:customStyle="1" w:styleId="23">
    <w:name w:val="标题 1 字符"/>
    <w:basedOn w:val="20"/>
    <w:link w:val="2"/>
    <w:qFormat/>
    <w:uiPriority w:val="0"/>
    <w:rPr>
      <w:rFonts w:cs="Times New Roman" w:asciiTheme="minorEastAsia" w:hAnsiTheme="minorEastAsia"/>
      <w:bCs/>
      <w:kern w:val="44"/>
      <w:sz w:val="32"/>
      <w:szCs w:val="44"/>
    </w:rPr>
  </w:style>
  <w:style w:type="character" w:customStyle="1" w:styleId="24">
    <w:name w:val="标题 3 字符"/>
    <w:basedOn w:val="20"/>
    <w:link w:val="4"/>
    <w:qFormat/>
    <w:uiPriority w:val="0"/>
    <w:rPr>
      <w:rFonts w:cs="Times New Roman" w:asciiTheme="minorEastAsia" w:hAnsiTheme="minorEastAsia"/>
      <w:bCs/>
      <w:kern w:val="2"/>
      <w:sz w:val="28"/>
      <w:szCs w:val="18"/>
    </w:rPr>
  </w:style>
  <w:style w:type="character" w:customStyle="1" w:styleId="25">
    <w:name w:val="页眉 字符"/>
    <w:basedOn w:val="20"/>
    <w:link w:val="14"/>
    <w:qFormat/>
    <w:uiPriority w:val="0"/>
    <w:rPr>
      <w:kern w:val="2"/>
      <w:sz w:val="18"/>
      <w:szCs w:val="18"/>
    </w:rPr>
  </w:style>
  <w:style w:type="character" w:customStyle="1" w:styleId="26">
    <w:name w:val="页脚 字符"/>
    <w:basedOn w:val="20"/>
    <w:link w:val="13"/>
    <w:qFormat/>
    <w:uiPriority w:val="99"/>
    <w:rPr>
      <w:kern w:val="2"/>
      <w:sz w:val="18"/>
      <w:szCs w:val="18"/>
    </w:rPr>
  </w:style>
  <w:style w:type="paragraph" w:styleId="27">
    <w:name w:val="List Paragraph"/>
    <w:basedOn w:val="1"/>
    <w:unhideWhenUsed/>
    <w:qFormat/>
    <w:uiPriority w:val="34"/>
    <w:pPr>
      <w:ind w:firstLine="200" w:firstLineChars="200"/>
    </w:pPr>
  </w:style>
  <w:style w:type="character" w:customStyle="1" w:styleId="28">
    <w:name w:val="标题 字符"/>
    <w:basedOn w:val="20"/>
    <w:link w:val="17"/>
    <w:qFormat/>
    <w:uiPriority w:val="10"/>
    <w:rPr>
      <w:rFonts w:asciiTheme="majorHAnsi" w:hAnsiTheme="majorHAnsi" w:eastAsiaTheme="majorEastAsia" w:cstheme="majorBidi"/>
      <w:b/>
      <w:bCs/>
      <w:kern w:val="2"/>
      <w:sz w:val="32"/>
      <w:szCs w:val="32"/>
    </w:rPr>
  </w:style>
  <w:style w:type="character" w:customStyle="1" w:styleId="29">
    <w:name w:val="标题 2 字符"/>
    <w:basedOn w:val="20"/>
    <w:link w:val="3"/>
    <w:qFormat/>
    <w:uiPriority w:val="0"/>
    <w:rPr>
      <w:rFonts w:asciiTheme="majorHAnsi" w:hAnsiTheme="majorHAnsi" w:eastAsiaTheme="majorEastAsia" w:cstheme="majorBidi"/>
      <w:b/>
      <w:bCs/>
      <w:kern w:val="2"/>
      <w:sz w:val="30"/>
      <w:szCs w:val="18"/>
    </w:rPr>
  </w:style>
  <w:style w:type="paragraph" w:customStyle="1" w:styleId="30">
    <w:name w:val="表中文字"/>
    <w:basedOn w:val="12"/>
    <w:link w:val="31"/>
    <w:qFormat/>
    <w:uiPriority w:val="0"/>
    <w:pPr>
      <w:spacing w:after="0" w:line="288" w:lineRule="auto"/>
    </w:pPr>
    <w:rPr>
      <w:rFonts w:ascii="宋体" w:hAnsi="Times New Roman" w:eastAsia="宋体"/>
      <w:b/>
      <w:szCs w:val="21"/>
      <w14:ligatures w14:val="standardContextual"/>
    </w:rPr>
  </w:style>
  <w:style w:type="character" w:customStyle="1" w:styleId="31">
    <w:name w:val="表中文字 字符"/>
    <w:basedOn w:val="32"/>
    <w:link w:val="30"/>
    <w:qFormat/>
    <w:uiPriority w:val="0"/>
    <w:rPr>
      <w:rFonts w:ascii="宋体" w:hAnsi="Times New Roman" w:eastAsia="宋体" w:cs="Times New Roman"/>
      <w:b w:val="0"/>
      <w:kern w:val="2"/>
      <w:sz w:val="18"/>
      <w:szCs w:val="21"/>
      <w14:ligatures w14:val="standardContextual"/>
    </w:rPr>
  </w:style>
  <w:style w:type="character" w:customStyle="1" w:styleId="32">
    <w:name w:val="正文文本 字符"/>
    <w:basedOn w:val="20"/>
    <w:link w:val="12"/>
    <w:qFormat/>
    <w:uiPriority w:val="0"/>
    <w:rPr>
      <w:b/>
      <w:kern w:val="2"/>
      <w:sz w:val="32"/>
      <w:szCs w:val="32"/>
    </w:rPr>
  </w:style>
  <w:style w:type="character" w:customStyle="1" w:styleId="33">
    <w:name w:val="副标题 字符"/>
    <w:basedOn w:val="20"/>
    <w:link w:val="15"/>
    <w:qFormat/>
    <w:uiPriority w:val="11"/>
    <w:rPr>
      <w:rFonts w:asciiTheme="majorHAnsi" w:hAnsiTheme="majorHAnsi" w:eastAsiaTheme="majorEastAsia" w:cstheme="majorBidi"/>
      <w:color w:val="595959" w:themeColor="text1" w:themeTint="A6"/>
      <w:spacing w:val="15"/>
      <w:kern w:val="2"/>
      <w:sz w:val="28"/>
      <w:szCs w:val="28"/>
      <w14:textFill>
        <w14:solidFill>
          <w14:schemeClr w14:val="tx1">
            <w14:lumMod w14:val="65000"/>
            <w14:lumOff w14:val="35000"/>
          </w14:schemeClr>
        </w14:solidFill>
      </w14:textFill>
      <w14:ligatures w14:val="standardContextual"/>
    </w:rPr>
  </w:style>
  <w:style w:type="character" w:customStyle="1" w:styleId="34">
    <w:name w:val="标题 4 字符"/>
    <w:basedOn w:val="20"/>
    <w:link w:val="5"/>
    <w:qFormat/>
    <w:uiPriority w:val="0"/>
    <w:rPr>
      <w:rFonts w:asciiTheme="majorHAnsi" w:hAnsiTheme="majorHAnsi" w:eastAsiaTheme="majorEastAsia" w:cstheme="majorBidi"/>
      <w:bCs/>
      <w:kern w:val="2"/>
      <w:sz w:val="24"/>
      <w:szCs w:val="28"/>
    </w:rPr>
  </w:style>
  <w:style w:type="character" w:customStyle="1" w:styleId="35">
    <w:name w:val="未处理的提及1"/>
    <w:basedOn w:val="20"/>
    <w:semiHidden/>
    <w:unhideWhenUsed/>
    <w:qFormat/>
    <w:uiPriority w:val="99"/>
    <w:rPr>
      <w:color w:val="605E5C"/>
      <w:shd w:val="clear" w:color="auto" w:fill="E1DFDD"/>
    </w:rPr>
  </w:style>
  <w:style w:type="character" w:customStyle="1" w:styleId="36">
    <w:name w:val="标题 8 字符"/>
    <w:basedOn w:val="20"/>
    <w:link w:val="9"/>
    <w:semiHidden/>
    <w:qFormat/>
    <w:uiPriority w:val="0"/>
    <w:rPr>
      <w:rFonts w:asciiTheme="majorHAnsi" w:hAnsiTheme="majorHAnsi" w:eastAsiaTheme="majorEastAsia" w:cstheme="majorBidi"/>
      <w:b/>
      <w:kern w:val="2"/>
      <w:sz w:val="24"/>
      <w:szCs w:val="24"/>
    </w:rPr>
  </w:style>
  <w:style w:type="paragraph" w:customStyle="1" w:styleId="37">
    <w:name w:val="标准文件_正文表标题"/>
    <w:next w:val="38"/>
    <w:qFormat/>
    <w:uiPriority w:val="0"/>
    <w:pPr>
      <w:spacing w:before="50" w:beforeLines="50" w:after="50" w:afterLines="50"/>
      <w:jc w:val="center"/>
    </w:pPr>
    <w:rPr>
      <w:rFonts w:ascii="黑体" w:hAnsi="Times New Roman" w:eastAsia="黑体" w:cs="Times New Roman"/>
      <w:sz w:val="21"/>
      <w:lang w:val="en-US" w:eastAsia="zh-CN" w:bidi="ar-SA"/>
    </w:rPr>
  </w:style>
  <w:style w:type="paragraph" w:customStyle="1" w:styleId="38">
    <w:name w:val="标准文件_段"/>
    <w:qFormat/>
    <w:uiPriority w:val="0"/>
    <w:pPr>
      <w:autoSpaceDE w:val="0"/>
      <w:autoSpaceDN w:val="0"/>
      <w:ind w:firstLine="200" w:firstLineChars="200"/>
      <w:jc w:val="both"/>
    </w:pPr>
    <w:rPr>
      <w:rFonts w:ascii="宋体" w:hAnsiTheme="minorHAnsi" w:eastAsiaTheme="minorEastAsia" w:cstheme="minorBidi"/>
      <w:sz w:val="21"/>
      <w:lang w:val="en-US" w:eastAsia="zh-CN" w:bidi="ar-SA"/>
    </w:rPr>
  </w:style>
  <w:style w:type="paragraph" w:customStyle="1" w:styleId="39">
    <w:name w:val="21bc9c4b-6a32-43e5-beaa-fd2d792c5735"/>
    <w:basedOn w:val="2"/>
    <w:next w:val="40"/>
    <w:link w:val="41"/>
    <w:qFormat/>
    <w:uiPriority w:val="0"/>
    <w:pPr>
      <w:adjustRightInd w:val="0"/>
      <w:spacing w:before="0" w:after="0" w:line="288" w:lineRule="auto"/>
      <w:ind w:firstLine="0"/>
      <w:jc w:val="left"/>
    </w:pPr>
    <w:rPr>
      <w:rFonts w:ascii="微软雅黑" w:hAnsi="微软雅黑" w:eastAsia="微软雅黑"/>
      <w:b/>
      <w:color w:val="000000"/>
    </w:rPr>
  </w:style>
  <w:style w:type="paragraph" w:customStyle="1" w:styleId="40">
    <w:name w:val="acbfdd8b-e11b-4d36-88ff-6049b138f862"/>
    <w:basedOn w:val="1"/>
    <w:link w:val="42"/>
    <w:qFormat/>
    <w:uiPriority w:val="0"/>
    <w:pPr>
      <w:adjustRightInd w:val="0"/>
      <w:spacing w:line="288" w:lineRule="auto"/>
      <w:ind w:firstLine="0"/>
      <w:jc w:val="left"/>
    </w:pPr>
    <w:rPr>
      <w:rFonts w:ascii="微软雅黑" w:hAnsi="微软雅黑" w:eastAsia="微软雅黑"/>
      <w:color w:val="000000"/>
      <w:sz w:val="22"/>
    </w:rPr>
  </w:style>
  <w:style w:type="character" w:customStyle="1" w:styleId="41">
    <w:name w:val="21bc9c4b-6a32-43e5-beaa-fd2d792c5735 字符"/>
    <w:basedOn w:val="20"/>
    <w:link w:val="39"/>
    <w:qFormat/>
    <w:uiPriority w:val="0"/>
    <w:rPr>
      <w:rFonts w:ascii="微软雅黑" w:hAnsi="微软雅黑" w:eastAsia="微软雅黑" w:cs="Times New Roman"/>
      <w:b/>
      <w:bCs/>
      <w:color w:val="000000"/>
      <w:kern w:val="44"/>
      <w:sz w:val="32"/>
      <w:szCs w:val="44"/>
    </w:rPr>
  </w:style>
  <w:style w:type="character" w:customStyle="1" w:styleId="42">
    <w:name w:val="acbfdd8b-e11b-4d36-88ff-6049b138f862 字符"/>
    <w:basedOn w:val="20"/>
    <w:link w:val="40"/>
    <w:qFormat/>
    <w:uiPriority w:val="0"/>
    <w:rPr>
      <w:rFonts w:ascii="微软雅黑" w:hAnsi="微软雅黑" w:eastAsia="微软雅黑" w:cs="Times New Roman"/>
      <w:color w:val="000000"/>
      <w:kern w:val="2"/>
      <w:sz w:val="22"/>
      <w:szCs w:val="18"/>
    </w:rPr>
  </w:style>
  <w:style w:type="paragraph" w:customStyle="1" w:styleId="43">
    <w:name w:val="71e7dc79-1ff7-45e8-997d-0ebda3762b91"/>
    <w:basedOn w:val="3"/>
    <w:next w:val="40"/>
    <w:link w:val="44"/>
    <w:qFormat/>
    <w:uiPriority w:val="0"/>
    <w:pPr>
      <w:adjustRightInd w:val="0"/>
      <w:spacing w:before="0" w:after="0" w:line="288" w:lineRule="auto"/>
      <w:jc w:val="left"/>
    </w:pPr>
    <w:rPr>
      <w:rFonts w:ascii="微软雅黑" w:hAnsi="微软雅黑" w:eastAsia="微软雅黑"/>
      <w:b w:val="0"/>
      <w:color w:val="000000"/>
      <w:sz w:val="28"/>
    </w:rPr>
  </w:style>
  <w:style w:type="character" w:customStyle="1" w:styleId="44">
    <w:name w:val="71e7dc79-1ff7-45e8-997d-0ebda3762b91 字符"/>
    <w:basedOn w:val="20"/>
    <w:link w:val="43"/>
    <w:qFormat/>
    <w:uiPriority w:val="0"/>
    <w:rPr>
      <w:rFonts w:ascii="微软雅黑" w:hAnsi="微软雅黑" w:eastAsia="微软雅黑" w:cstheme="majorBidi"/>
      <w:b/>
      <w:bCs/>
      <w:color w:val="000000"/>
      <w:kern w:val="2"/>
      <w:sz w:val="28"/>
      <w:szCs w:val="18"/>
    </w:rPr>
  </w:style>
  <w:style w:type="paragraph" w:customStyle="1" w:styleId="45">
    <w:name w:val="b63ee27f-4cf3-414c-9275-d88e3f90795e"/>
    <w:basedOn w:val="4"/>
    <w:next w:val="40"/>
    <w:link w:val="46"/>
    <w:qFormat/>
    <w:uiPriority w:val="0"/>
    <w:pPr>
      <w:adjustRightInd w:val="0"/>
      <w:spacing w:before="0" w:after="0" w:line="288" w:lineRule="auto"/>
      <w:jc w:val="left"/>
    </w:pPr>
    <w:rPr>
      <w:rFonts w:ascii="微软雅黑" w:hAnsi="微软雅黑" w:eastAsia="微软雅黑"/>
      <w:b/>
      <w:color w:val="000000"/>
      <w:sz w:val="26"/>
    </w:rPr>
  </w:style>
  <w:style w:type="character" w:customStyle="1" w:styleId="46">
    <w:name w:val="b63ee27f-4cf3-414c-9275-d88e3f90795e 字符"/>
    <w:basedOn w:val="20"/>
    <w:link w:val="45"/>
    <w:qFormat/>
    <w:uiPriority w:val="0"/>
    <w:rPr>
      <w:rFonts w:ascii="微软雅黑" w:hAnsi="微软雅黑" w:eastAsia="微软雅黑" w:cs="Times New Roman"/>
      <w:b/>
      <w:bCs/>
      <w:color w:val="000000"/>
      <w:kern w:val="2"/>
      <w:sz w:val="26"/>
      <w:szCs w:val="18"/>
    </w:rPr>
  </w:style>
  <w:style w:type="character" w:customStyle="1" w:styleId="47">
    <w:name w:val="标题 5 字符"/>
    <w:basedOn w:val="20"/>
    <w:link w:val="6"/>
    <w:semiHidden/>
    <w:qFormat/>
    <w:uiPriority w:val="9"/>
    <w:rPr>
      <w:rFonts w:cstheme="majorBidi"/>
      <w:color w:val="2E54A1" w:themeColor="accent1" w:themeShade="BF"/>
      <w:kern w:val="2"/>
      <w:sz w:val="24"/>
      <w:szCs w:val="24"/>
      <w14:ligatures w14:val="standardContextual"/>
    </w:rPr>
  </w:style>
  <w:style w:type="character" w:customStyle="1" w:styleId="48">
    <w:name w:val="标题 6 字符"/>
    <w:basedOn w:val="20"/>
    <w:link w:val="7"/>
    <w:semiHidden/>
    <w:qFormat/>
    <w:uiPriority w:val="9"/>
    <w:rPr>
      <w:rFonts w:cstheme="majorBidi"/>
      <w:b/>
      <w:bCs/>
      <w:color w:val="2E54A1" w:themeColor="accent1" w:themeShade="BF"/>
      <w:kern w:val="2"/>
      <w:sz w:val="21"/>
      <w:szCs w:val="21"/>
      <w14:ligatures w14:val="standardContextual"/>
    </w:rPr>
  </w:style>
  <w:style w:type="character" w:customStyle="1" w:styleId="49">
    <w:name w:val="标题 7 字符"/>
    <w:basedOn w:val="20"/>
    <w:link w:val="8"/>
    <w:semiHidden/>
    <w:qFormat/>
    <w:uiPriority w:val="9"/>
    <w:rPr>
      <w:rFonts w:cstheme="majorBidi"/>
      <w:b/>
      <w:bCs/>
      <w:color w:val="595959" w:themeColor="text1" w:themeTint="A6"/>
      <w:kern w:val="2"/>
      <w:sz w:val="21"/>
      <w:szCs w:val="21"/>
      <w14:textFill>
        <w14:solidFill>
          <w14:schemeClr w14:val="tx1">
            <w14:lumMod w14:val="65000"/>
            <w14:lumOff w14:val="35000"/>
          </w14:schemeClr>
        </w14:solidFill>
      </w14:textFill>
      <w14:ligatures w14:val="standardContextual"/>
    </w:rPr>
  </w:style>
  <w:style w:type="character" w:customStyle="1" w:styleId="50">
    <w:name w:val="标题 9 字符"/>
    <w:basedOn w:val="20"/>
    <w:link w:val="10"/>
    <w:semiHidden/>
    <w:qFormat/>
    <w:uiPriority w:val="9"/>
    <w:rPr>
      <w:rFonts w:eastAsiaTheme="majorEastAsia" w:cstheme="majorBidi"/>
      <w:color w:val="595959" w:themeColor="text1" w:themeTint="A6"/>
      <w:kern w:val="2"/>
      <w:sz w:val="21"/>
      <w:szCs w:val="21"/>
      <w14:textFill>
        <w14:solidFill>
          <w14:schemeClr w14:val="tx1">
            <w14:lumMod w14:val="65000"/>
            <w14:lumOff w14:val="35000"/>
          </w14:schemeClr>
        </w14:solidFill>
      </w14:textFill>
      <w14:ligatures w14:val="standardContextual"/>
    </w:rPr>
  </w:style>
  <w:style w:type="paragraph" w:styleId="51">
    <w:name w:val="Quote"/>
    <w:basedOn w:val="1"/>
    <w:next w:val="1"/>
    <w:link w:val="52"/>
    <w:qFormat/>
    <w:uiPriority w:val="29"/>
    <w:pPr>
      <w:spacing w:before="160" w:after="160"/>
      <w:ind w:firstLine="0" w:firstLineChars="0"/>
      <w:jc w:val="center"/>
    </w:pPr>
    <w:rPr>
      <w:rFonts w:asciiTheme="minorHAnsi" w:hAnsiTheme="minorHAnsi" w:cstheme="minorBidi"/>
      <w:i/>
      <w:iCs/>
      <w:color w:val="404040" w:themeColor="text1" w:themeTint="BF"/>
      <w:sz w:val="21"/>
      <w:szCs w:val="21"/>
      <w14:textFill>
        <w14:solidFill>
          <w14:schemeClr w14:val="tx1">
            <w14:lumMod w14:val="75000"/>
            <w14:lumOff w14:val="25000"/>
          </w14:schemeClr>
        </w14:solidFill>
      </w14:textFill>
      <w14:ligatures w14:val="standardContextual"/>
    </w:rPr>
  </w:style>
  <w:style w:type="character" w:customStyle="1" w:styleId="52">
    <w:name w:val="引用 字符"/>
    <w:basedOn w:val="20"/>
    <w:link w:val="51"/>
    <w:qFormat/>
    <w:uiPriority w:val="29"/>
    <w:rPr>
      <w:i/>
      <w:iCs/>
      <w:color w:val="404040" w:themeColor="text1" w:themeTint="BF"/>
      <w:kern w:val="2"/>
      <w:sz w:val="21"/>
      <w:szCs w:val="21"/>
      <w14:textFill>
        <w14:solidFill>
          <w14:schemeClr w14:val="tx1">
            <w14:lumMod w14:val="75000"/>
            <w14:lumOff w14:val="25000"/>
          </w14:schemeClr>
        </w14:solidFill>
      </w14:textFill>
      <w14:ligatures w14:val="standardContextual"/>
    </w:rPr>
  </w:style>
  <w:style w:type="character" w:customStyle="1" w:styleId="53">
    <w:name w:val="明显强调1"/>
    <w:basedOn w:val="20"/>
    <w:qFormat/>
    <w:uiPriority w:val="21"/>
    <w:rPr>
      <w:i/>
      <w:iCs/>
      <w:color w:val="2E54A1" w:themeColor="accent1" w:themeShade="BF"/>
    </w:rPr>
  </w:style>
  <w:style w:type="paragraph" w:styleId="54">
    <w:name w:val="Intense Quote"/>
    <w:basedOn w:val="1"/>
    <w:next w:val="1"/>
    <w:link w:val="55"/>
    <w:qFormat/>
    <w:uiPriority w:val="30"/>
    <w:pPr>
      <w:pBdr>
        <w:top w:val="single" w:color="2D54A0" w:themeColor="accent1" w:themeShade="BF" w:sz="4" w:space="10"/>
        <w:bottom w:val="single" w:color="2D54A0" w:themeColor="accent1" w:themeShade="BF" w:sz="4" w:space="10"/>
      </w:pBdr>
      <w:spacing w:before="360" w:after="360"/>
      <w:ind w:left="864" w:right="864" w:firstLine="0" w:firstLineChars="0"/>
      <w:jc w:val="center"/>
    </w:pPr>
    <w:rPr>
      <w:rFonts w:asciiTheme="minorHAnsi" w:hAnsiTheme="minorHAnsi" w:cstheme="minorBidi"/>
      <w:i/>
      <w:iCs/>
      <w:color w:val="2E54A1" w:themeColor="accent1" w:themeShade="BF"/>
      <w:sz w:val="21"/>
      <w:szCs w:val="21"/>
      <w14:ligatures w14:val="standardContextual"/>
    </w:rPr>
  </w:style>
  <w:style w:type="character" w:customStyle="1" w:styleId="55">
    <w:name w:val="明显引用 字符"/>
    <w:basedOn w:val="20"/>
    <w:link w:val="54"/>
    <w:qFormat/>
    <w:uiPriority w:val="30"/>
    <w:rPr>
      <w:i/>
      <w:iCs/>
      <w:color w:val="2E54A1" w:themeColor="accent1" w:themeShade="BF"/>
      <w:kern w:val="2"/>
      <w:sz w:val="21"/>
      <w:szCs w:val="21"/>
      <w14:ligatures w14:val="standardContextual"/>
    </w:rPr>
  </w:style>
  <w:style w:type="character" w:customStyle="1" w:styleId="56">
    <w:name w:val="明显参考1"/>
    <w:basedOn w:val="20"/>
    <w:qFormat/>
    <w:uiPriority w:val="32"/>
    <w:rPr>
      <w:b/>
      <w:bCs/>
      <w:smallCaps/>
      <w:color w:val="2E54A1" w:themeColor="accent1" w:themeShade="BF"/>
      <w:spacing w:val="5"/>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FD3A8-F07D-4417-BEF1-6DAE63781B69}">
  <ds:schemaRefs/>
</ds:datastoreItem>
</file>

<file path=docProps/app.xml><?xml version="1.0" encoding="utf-8"?>
<Properties xmlns="http://schemas.openxmlformats.org/officeDocument/2006/extended-properties" xmlns:vt="http://schemas.openxmlformats.org/officeDocument/2006/docPropsVTypes">
  <Template>Normal</Template>
  <Pages>45</Pages>
  <Words>2507</Words>
  <Characters>2590</Characters>
  <Lines>2352</Lines>
  <Paragraphs>1981</Paragraphs>
  <TotalTime>0</TotalTime>
  <ScaleCrop>false</ScaleCrop>
  <LinksUpToDate>false</LinksUpToDate>
  <CharactersWithSpaces>2602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2025-11-12T07:14:00Z</dcterms:created>
  <dc:creator>Admin</dc:creator>
  <cp:lastModifiedBy>雯仔</cp:lastModifiedBy>
  <cp:lastPrinted>2025-07-28T06:09:00Z</cp:lastPrinted>
  <dcterms:modified xsi:type="dcterms:W3CDTF">2025-12-15T09:08:33Z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02B019221FCA4F65BFE3A626A6A87676_12</vt:lpwstr>
  </property>
  <property fmtid="{D5CDD505-2E9C-101B-9397-08002B2CF9AE}" pid="4" name="KSOTemplateDocerSaveRecord">
    <vt:lpwstr>eyJoZGlkIjoiNzE4MzM0YmNhYzg0NWE2Yjk3Mjg4ZjA3NzA4ZjQxYzQiLCJ1c2VySWQiOiIyNDQ3OTkyNTYifQ==</vt:lpwstr>
  </property>
</Properties>
</file>